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governance of the Public Utility Commission of Texas, the Office of Public Utility Counsel, and an independent organization certified to manage a power region.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12, Utilities Code, is amended by adding Section 12.0521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12.0521.</w:t>
      </w:r>
      <w:r>
        <w:rPr>
          <w:u w:val="single"/>
        </w:rPr>
        <w:t xml:space="preserve"> </w:t>
      </w:r>
      <w:r>
        <w:rPr>
          <w:u w:val="single"/>
        </w:rPr>
        <w:t xml:space="preserve"> </w:t>
      </w:r>
      <w:r>
        <w:rPr>
          <w:u w:val="single"/>
        </w:rPr>
        <w:t xml:space="preserve">PRESIDING OFFICER QUALIFICATIONS.  The commissioner designated as the presiding officer must be a resident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13.022(a), Utilities Code, is amended to read as follows:</w:t>
      </w:r>
    </w:p>
    <w:p w:rsidR="003F3435" w:rsidRDefault="0032493E">
      <w:pPr>
        <w:spacing w:line="480" w:lineRule="auto"/>
        <w:ind w:firstLine="720"/>
        <w:jc w:val="both"/>
      </w:pPr>
      <w:r>
        <w:t xml:space="preserve">(a)</w:t>
      </w:r>
      <w:r xml:space="preserve">
        <w:t> </w:t>
      </w:r>
      <w:r xml:space="preserve">
        <w:t> </w:t>
      </w:r>
      <w:r>
        <w:t xml:space="preserve">The counsellor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w:t>
      </w:r>
      <w:r>
        <w:rPr>
          <w:u w:val="single"/>
        </w:rPr>
        <w:t xml:space="preserve">and a resident of this state</w:t>
      </w:r>
      <w:r>
        <w:t xml:space="preserve">;</w:t>
      </w:r>
    </w:p>
    <w:p w:rsidR="003F3435" w:rsidRDefault="0032493E">
      <w:pPr>
        <w:spacing w:line="480" w:lineRule="auto"/>
        <w:ind w:firstLine="1440"/>
        <w:jc w:val="both"/>
      </w:pPr>
      <w:r>
        <w:t xml:space="preserve">(2)</w:t>
      </w:r>
      <w:r xml:space="preserve">
        <w:t> </w:t>
      </w:r>
      <w:r xml:space="preserve">
        <w:t> </w:t>
      </w:r>
      <w:r>
        <w:t xml:space="preserve">have demonstrated a strong commitment to and involvement in efforts to safeguard the rights of the public; and</w:t>
      </w:r>
    </w:p>
    <w:p w:rsidR="003F3435" w:rsidRDefault="0032493E">
      <w:pPr>
        <w:spacing w:line="480" w:lineRule="auto"/>
        <w:ind w:firstLine="1440"/>
        <w:jc w:val="both"/>
      </w:pPr>
      <w:r>
        <w:t xml:space="preserve">(3)</w:t>
      </w:r>
      <w:r xml:space="preserve">
        <w:t> </w:t>
      </w:r>
      <w:r xml:space="preserve">
        <w:t> </w:t>
      </w:r>
      <w:r>
        <w:t xml:space="preserve">possess the knowledge and experience necessary to practice effectively in utility proceedings.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39.151, Utilities Code, is amended by amending Subsections (d), (g), and (g-1) and adding Subsections (g-2), (g-3), (g-4), (g-5), and (g-6) to read as follows:</w:t>
      </w:r>
    </w:p>
    <w:p w:rsidR="003F3435" w:rsidRDefault="0032493E">
      <w:pPr>
        <w:spacing w:line="480" w:lineRule="auto"/>
        <w:ind w:firstLine="720"/>
        <w:jc w:val="both"/>
      </w:pPr>
      <w:r>
        <w:t xml:space="preserve">(d)</w:t>
      </w:r>
      <w:r xml:space="preserve">
        <w:t> </w:t>
      </w:r>
      <w:r xml:space="preserve">
        <w:t> </w:t>
      </w:r>
      <w:r>
        <w:t xml:space="preserve">The commission shall adopt and enforce rules relating to the reliability of the regional electrical network and accounting for the production and delivery of electricity among generators and all other market participants, or may delegate to an independent organization responsibilities for </w:t>
      </w:r>
      <w:r>
        <w:rPr>
          <w:u w:val="single"/>
        </w:rPr>
        <w:t xml:space="preserve">adopting</w:t>
      </w:r>
      <w:r>
        <w:t xml:space="preserve"> </w:t>
      </w:r>
      <w:r>
        <w:t xml:space="preserve">[</w:t>
      </w:r>
      <w:r>
        <w:rPr>
          <w:strike/>
        </w:rPr>
        <w:t xml:space="preserve">establishing</w:t>
      </w:r>
      <w:r>
        <w:t xml:space="preserve">] or enforcing such rules.  </w:t>
      </w:r>
      <w:r>
        <w:rPr>
          <w:u w:val="single"/>
        </w:rPr>
        <w:t xml:space="preserve">Rules</w:t>
      </w:r>
      <w:r>
        <w:t xml:space="preserve"> [</w:t>
      </w:r>
      <w:r>
        <w:rPr>
          <w:strike/>
        </w:rPr>
        <w:t xml:space="preserve">Any such rules</w:t>
      </w:r>
      <w:r>
        <w:t xml:space="preserve">] adopted by an independent organization and [</w:t>
      </w:r>
      <w:r>
        <w:rPr>
          <w:strike/>
        </w:rPr>
        <w:t xml:space="preserve">any</w:t>
      </w:r>
      <w:r>
        <w:t xml:space="preserve">] enforcement actions taken by the organization </w:t>
      </w:r>
      <w:r>
        <w:rPr>
          <w:u w:val="single"/>
        </w:rPr>
        <w:t xml:space="preserve">under delegated authority from the commission</w:t>
      </w:r>
      <w:r>
        <w:t xml:space="preserve"> are subject to commission oversight and review </w:t>
      </w:r>
      <w:r>
        <w:rPr>
          <w:u w:val="single"/>
        </w:rPr>
        <w:t xml:space="preserve">and may not take effect before receiving commission approval</w:t>
      </w:r>
      <w:r>
        <w:t xml:space="preserve">.  An independent organization certified by the commission is directly responsible and accountable to the commission.  The commission has complete authority to oversee and investigate the organization's finances, budget, and operations as necessary to ensure the organization's accountability and to ensure that the organization adequately performs the organization's functions and duties.  The organization shall fully cooperate with the commission in the commission's oversight and investigatory functions.  The commission may take appropriate action against an organization that does not adequately perform the organization's functions or duties or does not comply with this section, including decertifying the organization or assessing an administrative penalty against the organization.  The commission by rule shall adopt procedures governing decertification of an independent organization, selecting and certifying a successor organization, and transferring assets to the successor organization to ensure continuity of operations in the region.  The commission may not implement, by order or by rule, a requirement that is contrary to an applicable federal law or rule.</w:t>
      </w:r>
    </w:p>
    <w:p w:rsidR="003F3435" w:rsidRDefault="0032493E">
      <w:pPr>
        <w:spacing w:line="480" w:lineRule="auto"/>
        <w:ind w:firstLine="720"/>
        <w:jc w:val="both"/>
      </w:pPr>
      <w:r>
        <w:t xml:space="preserve">(g)</w:t>
      </w:r>
      <w:r xml:space="preserve">
        <w:t> </w:t>
      </w:r>
      <w:r xml:space="preserve">
        <w:t> </w:t>
      </w:r>
      <w:r>
        <w:t xml:space="preserve">To maintain certification as an independent organization </w:t>
      </w:r>
      <w:r>
        <w:rPr>
          <w:u w:val="single"/>
        </w:rPr>
        <w:t xml:space="preserve">for the ERCOT power region</w:t>
      </w:r>
      <w:r>
        <w:t xml:space="preserve"> under this section, an organization's governing body must be composed of persons </w:t>
      </w:r>
      <w:r>
        <w:rPr>
          <w:u w:val="single"/>
        </w:rPr>
        <w:t xml:space="preserve">selected by the ERCOT board selection committee</w:t>
      </w:r>
      <w:r>
        <w:t xml:space="preserve"> [</w:t>
      </w:r>
      <w:r>
        <w:rPr>
          <w:strike/>
        </w:rPr>
        <w:t xml:space="preserve">specified by this section and selected in accordance with formal bylaws or protocols of the organization</w:t>
      </w:r>
      <w:r>
        <w:t xml:space="preserve">].</w:t>
      </w:r>
    </w:p>
    <w:p w:rsidR="003F3435" w:rsidRDefault="0032493E">
      <w:pPr>
        <w:spacing w:line="480" w:lineRule="auto"/>
        <w:ind w:firstLine="720"/>
        <w:jc w:val="both"/>
      </w:pPr>
      <w:r>
        <w:rPr>
          <w:u w:val="single"/>
        </w:rPr>
        <w:t xml:space="preserve">(g-1)</w:t>
      </w:r>
      <w:r xml:space="preserve">
        <w:t> </w:t>
      </w:r>
      <w:r xml:space="preserve">
        <w:t> </w:t>
      </w:r>
      <w:r>
        <w:t xml:space="preserve">The </w:t>
      </w:r>
      <w:r>
        <w:rPr>
          <w:u w:val="single"/>
        </w:rPr>
        <w:t xml:space="preserve">independent organization's</w:t>
      </w:r>
      <w:r>
        <w:t xml:space="preserve"> bylaws or protocols must be approved by the commission and must reflect the input of the commission.  [</w:t>
      </w:r>
      <w:r>
        <w:rPr>
          <w:strike/>
        </w:rPr>
        <w:t xml:space="preserve">The bylaws must specify the process by which appropriate stakeholders elect members and, for unaffiliated members, prescribe professional qualifications for selection as a member.</w:t>
      </w:r>
      <w:r>
        <w:t xml:space="preserve">] The bylaws must require </w:t>
      </w:r>
      <w:r>
        <w:rPr>
          <w:u w:val="single"/>
        </w:rPr>
        <w:t xml:space="preserve">that every member of the governing body be a resident of this state and must prohibit a legislator from serving as a member</w:t>
      </w:r>
      <w:r>
        <w:t xml:space="preserve"> [</w:t>
      </w:r>
      <w:r>
        <w:rPr>
          <w:strike/>
        </w:rPr>
        <w:t xml:space="preserve">the use of a professional search firm to identify candidates for membership of unaffiliated members.  The process must allow for commission input in identifying candidates</w:t>
      </w:r>
      <w:r>
        <w:t xml:space="preserve">].  The governing body must be composed of:</w:t>
      </w:r>
    </w:p>
    <w:p w:rsidR="003F3435" w:rsidRDefault="0032493E">
      <w:pPr>
        <w:spacing w:line="480" w:lineRule="auto"/>
        <w:ind w:firstLine="1440"/>
        <w:jc w:val="both"/>
      </w:pPr>
      <w:r>
        <w:t xml:space="preserve">(1)</w:t>
      </w:r>
      <w:r xml:space="preserve">
        <w:t> </w:t>
      </w:r>
      <w:r xml:space="preserve">
        <w:t> </w:t>
      </w:r>
      <w:r>
        <w:t xml:space="preserve">the chairman of the commission as an ex officio nonvoting member;</w:t>
      </w:r>
    </w:p>
    <w:p w:rsidR="003F3435" w:rsidRDefault="0032493E">
      <w:pPr>
        <w:spacing w:line="480" w:lineRule="auto"/>
        <w:ind w:firstLine="1440"/>
        <w:jc w:val="both"/>
      </w:pPr>
      <w:r>
        <w:t xml:space="preserve">(2)</w:t>
      </w:r>
      <w:r xml:space="preserve">
        <w:t> </w:t>
      </w:r>
      <w:r xml:space="preserve">
        <w:t> </w:t>
      </w:r>
      <w:r>
        <w:t xml:space="preserve">the counsellor as an ex officio voting member representing residential and small commercial consumer interests;</w:t>
      </w:r>
    </w:p>
    <w:p w:rsidR="003F3435" w:rsidRDefault="0032493E">
      <w:pPr>
        <w:spacing w:line="480" w:lineRule="auto"/>
        <w:ind w:firstLine="1440"/>
        <w:jc w:val="both"/>
      </w:pPr>
      <w:r>
        <w:t xml:space="preserve">(3)</w:t>
      </w:r>
      <w:r xml:space="preserve">
        <w:t> </w:t>
      </w:r>
      <w:r xml:space="preserve">
        <w:t> </w:t>
      </w:r>
      <w:r>
        <w:t xml:space="preserve">the chief executive officer of the independent organization as an ex officio </w:t>
      </w:r>
      <w:r>
        <w:rPr>
          <w:u w:val="single"/>
        </w:rPr>
        <w:t xml:space="preserve">nonvoting</w:t>
      </w:r>
      <w:r>
        <w:t xml:space="preserve"> [</w:t>
      </w:r>
      <w:r>
        <w:rPr>
          <w:strike/>
        </w:rPr>
        <w:t xml:space="preserve">voting</w:t>
      </w:r>
      <w:r>
        <w:t xml:space="preserve">] member; </w:t>
      </w:r>
      <w:r>
        <w:rPr>
          <w:u w:val="single"/>
        </w:rPr>
        <w:t xml:space="preserve">and</w:t>
      </w:r>
    </w:p>
    <w:p w:rsidR="003F3435" w:rsidRDefault="0032493E">
      <w:pPr>
        <w:spacing w:line="480" w:lineRule="auto"/>
        <w:ind w:firstLine="1440"/>
        <w:jc w:val="both"/>
      </w:pPr>
      <w:r>
        <w:t xml:space="preserve">(4)</w:t>
      </w:r>
      <w:r xml:space="preserve">
        <w:t> </w:t>
      </w:r>
      <w:r xml:space="preserve">
        <w:t> </w:t>
      </w:r>
      <w:r>
        <w:rPr>
          <w:u w:val="single"/>
        </w:rPr>
        <w:t xml:space="preserve">eight members selected by the selection committee under Section 39.1513 with executive-level experience in any of the following professions: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business;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engineering, including electrical engineering;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trading;</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risk management;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law;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electric market design</w:t>
      </w:r>
      <w:r>
        <w:t xml:space="preserve"> [</w:t>
      </w:r>
      <w:r>
        <w:rPr>
          <w:strike/>
        </w:rPr>
        <w:t xml:space="preserve">six market participants elected by their respective market segments to serve one-year terms, with:</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one representing independent generators;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one representing investor-owned utilities;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one representing power marketers;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one representing retail electric providers;</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one representing municipally owned utilities; and</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one representing electric cooperatives;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industrial consumer interests and elected by the industrial consumer market segment to serve a one-year term;</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one member representing large commercial consumer interests selected in accordance with the bylaws to serve a one-year term;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five members unaffiliated with any market segment and selected by the other members of the governing body to serve three-year terms</w:t>
      </w:r>
      <w:r>
        <w:t xml:space="preserv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Members</w:t>
      </w:r>
      <w:r>
        <w:t xml:space="preserve"> [</w:t>
      </w:r>
      <w:r>
        <w:rPr>
          <w:strike/>
        </w:rPr>
        <w:t xml:space="preserve">(g-1)  The presiding officer</w:t>
      </w:r>
      <w:r>
        <w:t xml:space="preserve">] of the governing body </w:t>
      </w:r>
      <w:r>
        <w:rPr>
          <w:u w:val="single"/>
        </w:rPr>
        <w:t xml:space="preserve">are entitled to receive a salary for their service</w:t>
      </w:r>
      <w:r>
        <w:t xml:space="preserve"> [</w:t>
      </w:r>
      <w:r>
        <w:rPr>
          <w:strike/>
        </w:rPr>
        <w:t xml:space="preserve">must be one of the members described by Subsection (g)(7)</w:t>
      </w:r>
      <w:r>
        <w:t xml:space="preserv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A person does not qualify for selection as a member of the governing body of an independent organization for the ERCOT power region if the person has a fiduciary duty or assets in the electricity market for that region.</w:t>
      </w:r>
    </w:p>
    <w:p w:rsidR="003F3435" w:rsidRDefault="0032493E">
      <w:pPr>
        <w:spacing w:line="480" w:lineRule="auto"/>
        <w:ind w:firstLine="720"/>
        <w:jc w:val="both"/>
      </w:pPr>
      <w:r>
        <w:rPr>
          <w:u w:val="single"/>
        </w:rPr>
        <w:t xml:space="preserve">(g-4)</w:t>
      </w:r>
      <w:r>
        <w:rPr>
          <w:u w:val="single"/>
        </w:rPr>
        <w:t xml:space="preserve"> </w:t>
      </w:r>
      <w:r>
        <w:rPr>
          <w:u w:val="single"/>
        </w:rPr>
        <w:t xml:space="preserve"> </w:t>
      </w:r>
      <w:r>
        <w:rPr>
          <w:u w:val="single"/>
        </w:rPr>
        <w:t xml:space="preserve">To maintain certification as an independent organization under this section, the organization's governing body may not include more than two members who are employed by an institution of higher education, as defined by Section 61.003, Education Code, in a professorial role.</w:t>
      </w:r>
    </w:p>
    <w:p w:rsidR="003F3435" w:rsidRDefault="0032493E">
      <w:pPr>
        <w:spacing w:line="480" w:lineRule="auto"/>
        <w:ind w:firstLine="720"/>
        <w:jc w:val="both"/>
      </w:pPr>
      <w:r>
        <w:rPr>
          <w:u w:val="single"/>
        </w:rPr>
        <w:t xml:space="preserve">(g-5)</w:t>
      </w:r>
      <w:r>
        <w:rPr>
          <w:u w:val="single"/>
        </w:rPr>
        <w:t xml:space="preserve"> </w:t>
      </w:r>
      <w:r>
        <w:rPr>
          <w:u w:val="single"/>
        </w:rPr>
        <w:t xml:space="preserve"> </w:t>
      </w:r>
      <w:r>
        <w:rPr>
          <w:u w:val="single"/>
        </w:rPr>
        <w:t xml:space="preserve">A former member of the governing body of an independent organization certified under this section may not, before the second anniversary of the date the member ceases to be a member of the governing body, engage in an activity that requires registration under Chapter 305, Government Code.</w:t>
      </w:r>
    </w:p>
    <w:p w:rsidR="003F3435" w:rsidRDefault="0032493E">
      <w:pPr>
        <w:spacing w:line="480" w:lineRule="auto"/>
        <w:ind w:firstLine="720"/>
        <w:jc w:val="both"/>
      </w:pPr>
      <w:r>
        <w:rPr>
          <w:u w:val="single"/>
        </w:rPr>
        <w:t xml:space="preserve">(g-6)</w:t>
      </w:r>
      <w:r>
        <w:rPr>
          <w:u w:val="single"/>
        </w:rPr>
        <w:t xml:space="preserve"> </w:t>
      </w:r>
      <w:r>
        <w:rPr>
          <w:u w:val="single"/>
        </w:rPr>
        <w:t xml:space="preserve"> </w:t>
      </w:r>
      <w:r>
        <w:rPr>
          <w:u w:val="single"/>
        </w:rPr>
        <w:t xml:space="preserve">To maintain certification as an independent organization under this section, the organization's governing body must establish and implement a formal process for adopting new protocols or revisions to existing protocols.  The process must require that new or revised protocols may not take effect until the commission approves a market impact statement describing the new or revised protocols.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39, Utilities Code, is amended by adding Section 39.1513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39.1513.</w:t>
      </w:r>
      <w:r>
        <w:rPr>
          <w:u w:val="single"/>
        </w:rPr>
        <w:t xml:space="preserve"> </w:t>
      </w:r>
      <w:r>
        <w:rPr>
          <w:u w:val="single"/>
        </w:rPr>
        <w:t xml:space="preserve"> </w:t>
      </w:r>
      <w:r>
        <w:rPr>
          <w:u w:val="single"/>
        </w:rPr>
        <w:t xml:space="preserve">ERCOT BOARD SELECTION COMMITTEE.  (a)  The ERCOT board selection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a member of the committee unless the person is a resident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committee is not entitled to compensation for serving as a member but is entitled to reimbursement for actual and necessary expenses incurred in performing the official duties of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committee shall select members eligible under Section 39.151 to serve on the governing body of an independent organization certified under that section for the ERCOT power region and shall designate the chair and vice chair of the governing body from those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ERCOT board selection committee shall retain an outside consulting firm to help select members of the governing body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An independent organization certified under Section 39.151, Utilities Code, by the Public Utility Commission of Texas before September 1, 2021, shall modify the organization to comply with Section 39.151, Utilities Code, as amended by this Act.  After September 1, 2021, the Public Utility Commission of Texas may decertify an independent organization that does not comply with Section 39.151, Utilities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 passed the Senate on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April 14, 2021, by the following vote:</w:t>
      </w:r>
      <w:r xml:space="preserve">
        <w:t> </w:t>
      </w:r>
      <w:r xml:space="preserve">
        <w:t> </w:t>
      </w:r>
      <w:r>
        <w:t xml:space="preserve">Yeas</w:t>
      </w:r>
      <w:r xml:space="preserve">
        <w:t> </w:t>
      </w:r>
      <w:r>
        <w:t xml:space="preserve">30, Nays</w:t>
      </w:r>
      <w:r xml:space="preserve">
        <w:t> </w:t>
      </w:r>
      <w:r>
        <w:t xml:space="preserve">1;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27, 2021, Senate refused to concur in House amendments and requested appointment of Conference Committee; May 28, 2021, House granted request of the Senate; May 30, 2021, Senate adopted Conference Committee Report by the following vote:</w:t>
      </w:r>
      <w:r xml:space="preserve">
        <w:t> </w:t>
      </w:r>
      <w:r xml:space="preserve">
        <w:t> </w:t>
      </w:r>
      <w:r>
        <w:t xml:space="preserve">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 passed the House, with amendments, on May 24, 2021, by the following vote:</w:t>
      </w:r>
      <w:r xml:space="preserve">
        <w:t> </w:t>
      </w:r>
      <w:r xml:space="preserve">
        <w:t> </w:t>
      </w:r>
      <w:r>
        <w:t xml:space="preserve">Yeas</w:t>
      </w:r>
      <w:r xml:space="preserve">
        <w:t> </w:t>
      </w:r>
      <w:r>
        <w:t xml:space="preserve">142, Nays</w:t>
      </w:r>
      <w:r xml:space="preserve">
        <w:t> </w:t>
      </w:r>
      <w:r>
        <w:t xml:space="preserve">1, one present not voting; May 28, 2021, House granted request of the Senate for appointment of Conference Committee;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 </w:t>
      </w:r>
      <w:r>
        <w:t xml:space="preserve">May 30, 2021, House adopted Conference Committee Report by the following vote:</w:t>
      </w:r>
      <w:r xml:space="preserve">
        <w:t> </w:t>
      </w:r>
      <w:r xml:space="preserve">
        <w:t> </w:t>
      </w:r>
      <w:r>
        <w:t xml:space="preserve">Yeas</w:t>
      </w:r>
      <w:r xml:space="preserve">
        <w:t> </w:t>
      </w:r>
      <w:r>
        <w:t xml:space="preserve">132,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