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87R11933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independent organizations certified to manage power regions.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amending Subsections (d), (g), and (g-1) and adding Subsection (g-2)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to an independent organization responsibilities for </w:t>
      </w:r>
      <w:r>
        <w:rPr>
          <w:u w:val="single"/>
        </w:rPr>
        <w:t xml:space="preserve">adopting</w:t>
      </w:r>
      <w:r>
        <w:t xml:space="preserve"> </w:t>
      </w:r>
      <w:r>
        <w:t xml:space="preserve">[</w:t>
      </w:r>
      <w:r>
        <w:rPr>
          <w:strike/>
        </w:rPr>
        <w:t xml:space="preserve">establishing</w:t>
      </w:r>
      <w:r>
        <w:t xml:space="preserve">] or enforcing such rules.  </w:t>
      </w:r>
      <w:r>
        <w:rPr>
          <w:u w:val="single"/>
        </w:rPr>
        <w:t xml:space="preserve">Rules</w:t>
      </w:r>
      <w:r>
        <w:t xml:space="preserve"> [</w:t>
      </w:r>
      <w:r>
        <w:rPr>
          <w:strike/>
        </w:rPr>
        <w:t xml:space="preserve">Any such rules</w:t>
      </w:r>
      <w:r>
        <w:t xml:space="preserve">] adopted by an independent organization and [</w:t>
      </w:r>
      <w:r>
        <w:rPr>
          <w:strike/>
        </w:rPr>
        <w:t xml:space="preserve">any</w:t>
      </w:r>
      <w:r>
        <w:t xml:space="preserve">] enforcement actions taken by the organization </w:t>
      </w:r>
      <w:r>
        <w:rPr>
          <w:u w:val="single"/>
        </w:rPr>
        <w:t xml:space="preserve">under delegated authority from the commission</w:t>
      </w:r>
      <w:r>
        <w:t xml:space="preserve"> are subject to commission oversight and review </w:t>
      </w:r>
      <w:r>
        <w:rPr>
          <w:u w:val="single"/>
        </w:rPr>
        <w:t xml:space="preserve">and may not take effect before receiving commission approval</w:t>
      </w:r>
      <w:r>
        <w:t xml:space="preserve">. An independent organization certified by the commission is directly responsible and accountable to the commission.  The commission has complete authority to oversee and investigate the organization's finances, budget, and operations as necessary to ensure the organization's accountability and to ensure that the organization adequately performs the organization's functions and duties.  The organization shall fully cooperate with the commission in the commission's oversight and investigatory functions.  The commission may take appropriate action against an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w:t>
      </w:r>
      <w:r>
        <w:rPr>
          <w:u w:val="single"/>
        </w:rPr>
        <w:t xml:space="preserve">that every member of the governing body, other than members described by Subdivisions (1) and (2), be a resident of this state.  The bylaws must require</w:t>
      </w:r>
      <w:r>
        <w:t xml:space="preserve"> the use of a professional search firm to identify candidates for membership of unaffiliated members.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r>
        <w:rPr>
          <w:u w:val="single"/>
        </w:rPr>
        <w:t xml:space="preserve">, elected by a majority vote of the members of this market segment who each own and control five percent or more of the installed generation capacity located in the power region</w:t>
      </w:r>
      <w:r>
        <w:t xml:space="preserve">;</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(7)</w:t>
      </w:r>
      <w:r xml:space="preserve">
        <w:t> </w:t>
      </w:r>
      <w:r xml:space="preserve">
        <w:t> </w:t>
      </w:r>
      <w:r>
        <w:t xml:space="preserve">five members unaffiliated with any market segment and selected by the other members of the governing body to serve three-year terms.</w:t>
      </w:r>
    </w:p>
    <w:p w:rsidR="003F3435" w:rsidRDefault="0032493E">
      <w:pPr>
        <w:spacing w:line="480" w:lineRule="auto"/>
        <w:ind w:firstLine="720"/>
        <w:jc w:val="both"/>
      </w:pPr>
      <w:r>
        <w:t xml:space="preserve">(g-1)</w:t>
      </w:r>
      <w:r xml:space="preserve">
        <w:t> </w:t>
      </w:r>
      <w:r xml:space="preserve">
        <w:t> </w:t>
      </w:r>
      <w:r>
        <w:rPr>
          <w:u w:val="single"/>
        </w:rPr>
        <w:t xml:space="preserve">The bylaws of an independent organization must require that the</w:t>
      </w:r>
      <w:r>
        <w:t xml:space="preserve"> [</w:t>
      </w:r>
      <w:r>
        <w:rPr>
          <w:strike/>
        </w:rPr>
        <w:t xml:space="preserve">The</w:t>
      </w:r>
      <w:r>
        <w:t xml:space="preserve">] presiding officer of the governing body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one of the members described by Subsection (g)(7)</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by the governor with the advice and consent of the senate</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before receiving commission approval.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independent organization certified under Section 39.151, Utilities Code, by the Public Utility Commission of Texas before September 1, 2021, shall modify the organization to comply with Section 39.151, Utilities Code, as amended by this Act, not later than September 1, 2021.  After September 1, 2021, the Public Utility Commission of Texas may decertify an independent organization that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