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11,</w:t>
      </w:r>
      <w:r xml:space="preserve">
        <w:t> </w:t>
      </w:r>
      <w:r>
        <w:t xml:space="preserve">2021, read first time and referred to Committee on Local Government;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5, Nays 4;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by a county or municipality of public money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RESTRICTIONS ON LOBBYING ACTIVITIES BY COUNTIES AND MUNICIPALITIES. </w:t>
      </w:r>
      <w:r>
        <w:rPr>
          <w:u w:val="single"/>
        </w:rPr>
        <w:t xml:space="preserve"> </w:t>
      </w:r>
      <w:r>
        <w:rPr>
          <w:u w:val="single"/>
        </w:rPr>
        <w:t xml:space="preserve">(a) </w:t>
      </w:r>
      <w:r>
        <w:rPr>
          <w:u w:val="single"/>
        </w:rPr>
        <w:t xml:space="preserve"> </w:t>
      </w:r>
      <w:r>
        <w:rPr>
          <w:u w:val="single"/>
        </w:rPr>
        <w:t xml:space="preserve">The governing body of a county or municipality may not spend public money or provide compensation in any manner to directly or indirectly influence or attempt to influence the outcome of any legislation pending before the legislature. </w:t>
      </w:r>
      <w:r>
        <w:rPr>
          <w:u w:val="single"/>
        </w:rPr>
        <w:t xml:space="preserve"> </w:t>
      </w:r>
      <w:r>
        <w:rPr>
          <w:u w:val="single"/>
        </w:rPr>
        <w:t xml:space="preserve">This subsection does not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county or municipality from providing information for a member of the legislature or appearing before a legislative committee at the request of the member of the legislature or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elected officer of a county or municipality from advocating for or against or otherwise influencing or attempting to influence the outcome of legislation pending before the legislature, including testifying before a legislative committee, while acting as an officer of the county or municipality;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a county or municipality from advocating for or against or otherwise influencing or attempting to influence the outcome of legislation pending before the legislature if those actions would not require a person to register as a lobbyist under Chapter 305;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or municipality from reimbursing an officer or employee of the county or municipality for direct travel expenses incurred by the officer or employee for engaging in an activity authorized by Subdivision (1), (2), or (3);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or municipality from paying fees or dues or providing compensation in any manner to a nonprofit state association or organization that advocates for or against or otherwise influences or attempts to influence the outcome of legislation pending before the legislature on the collective behalf of counties or municipalities in this state, unless the association or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or otherwise compensates an individual required to register as a lobbyist under Chapter 305 for a purpose described by this subdivision, not including a full-time employee of the association or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advocates for or against or otherwise influences or attempts to influence the outcome of legislation pending before the legislature related to property taxation, including the implementation, rates, and administration of property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not establish a nonprofit association or organization that advocates for or against or otherwise influences or attempts to influence the outcome of legislation pending before the legislature on the behalf of a county or municipality if the association or organization takes an action described by Subsection (a)(5)(A) or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or municipality engages in an activity prohibited by Subsection (a) or (b), a taxpayer or resident of the county or municipality is entitled to appropriate injunctive relief to prevent any further activity prohibited by those subsections.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taxpayer or resident who prevails in an action under Subsection (c) is entitled to recover from the county or municipality, as applicable,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556.0056, Government Code, as added by this Act, applies only to:</w:t>
      </w:r>
    </w:p>
    <w:p w:rsidR="003F3435" w:rsidRDefault="0032493E">
      <w:pPr>
        <w:spacing w:line="480" w:lineRule="auto"/>
        <w:ind w:firstLine="1440"/>
        <w:jc w:val="both"/>
      </w:pPr>
      <w:r>
        <w:t xml:space="preserve">(1)</w:t>
      </w:r>
      <w:r xml:space="preserve">
        <w:t> </w:t>
      </w:r>
      <w:r xml:space="preserve">
        <w:t> </w:t>
      </w:r>
      <w:r>
        <w:t xml:space="preserve">an expenditure or payment of money or provision of some other compensation by a county or municipality that is made on or after September 1, 2021; and</w:t>
      </w:r>
    </w:p>
    <w:p w:rsidR="003F3435" w:rsidRDefault="0032493E">
      <w:pPr>
        <w:spacing w:line="480" w:lineRule="auto"/>
        <w:ind w:firstLine="1440"/>
        <w:jc w:val="both"/>
      </w:pPr>
      <w:r>
        <w:t xml:space="preserve">(2)</w:t>
      </w:r>
      <w:r xml:space="preserve">
        <w:t> </w:t>
      </w:r>
      <w:r xml:space="preserve">
        <w:t> </w:t>
      </w:r>
      <w:r>
        <w:t xml:space="preserve">the establishment of a nonprofit association or organization that takes an action described by Subsection (a)(5)(A) or (B) of that section on or after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