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3,</w:t>
      </w:r>
      <w:r xml:space="preserve">
        <w:t> </w:t>
      </w:r>
      <w:r>
        <w:t xml:space="preserve">2021, read first time and referred to Committee on Transportation;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 Parks and Wildlife Code, is amended by amending Subsections (a) and (c)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name and address and a telephone, social security, driver's license, bank account, credit card, or charge card number of a person who purchases customer products, licenses, or services from the department may not be disclosed</w:t>
      </w:r>
      <w:r>
        <w:rPr>
          <w:u w:val="single"/>
        </w:rPr>
        <w:t xml:space="preserve">, sold, rented, or traded</w:t>
      </w:r>
      <w:r>
        <w:t xml:space="preserve"> except as authorized under this section or Section 12.0251.</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use of the customer information by the department[</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sale of a mailing list consisting of the names and addresses of persons who purchase customer products, licenses, or services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department may disclose statistical data and compilations of customer information described by Subsection (a) if the information does not reveal information identifying a specific department customer or a department customer's address, telephone number, social security number, or driver's license number.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may disclose customer information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another governmental body, including a law enforcement entity, as needed to carry out a governmental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customer that is the subject of the information consents in writing to the specific disclosure;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information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 record that is considered to be a public record under Section 31.039;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to be disclosed under Section 31.0391.</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This section does not authorize the department to disclose information the department is prohibited from disclosing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204.011(a),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this section or a rule adopted by the commission under this section, the</w:t>
      </w:r>
      <w:r>
        <w:t xml:space="preserve">] department may not disclose to any person the name, address, telephone number, social security account number, driver's license number, bank account number, credit or debit card number, or charge account number of a person who:</w:t>
      </w:r>
    </w:p>
    <w:p w:rsidR="003F3435" w:rsidRDefault="0032493E">
      <w:pPr>
        <w:spacing w:line="480" w:lineRule="auto"/>
        <w:ind w:firstLine="1440"/>
        <w:jc w:val="both"/>
      </w:pPr>
      <w:r>
        <w:t xml:space="preserve">(1)</w:t>
      </w:r>
      <w:r xml:space="preserve">
        <w:t> </w:t>
      </w:r>
      <w:r xml:space="preserve">
        <w:t> </w:t>
      </w:r>
      <w:r>
        <w:t xml:space="preserve">is or has been a subscriber to "Texas Highways"; or</w:t>
      </w:r>
    </w:p>
    <w:p w:rsidR="003F3435" w:rsidRDefault="0032493E">
      <w:pPr>
        <w:spacing w:line="480" w:lineRule="auto"/>
        <w:ind w:firstLine="1440"/>
        <w:jc w:val="both"/>
      </w:pPr>
      <w:r>
        <w:t xml:space="preserve">(2)</w:t>
      </w:r>
      <w:r xml:space="preserve">
        <w:t> </w:t>
      </w:r>
      <w:r xml:space="preserve">
        <w:t> </w:t>
      </w:r>
      <w:r>
        <w:t xml:space="preserve">has purchased from the department a promotional item described by Section 204.009.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521.0475(a),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department shall provide a certified abstract of a complete driving record of a license holder, for a fee of $20, to the license holder or a person eligible to receive the information under </w:t>
      </w:r>
      <w:r>
        <w:rPr>
          <w:u w:val="single"/>
        </w:rPr>
        <w:t xml:space="preserve">Sections 730.007(a)(2)(A), (B), and (G)</w:t>
      </w:r>
      <w:r>
        <w:t xml:space="preserve"> [</w:t>
      </w:r>
      <w:r>
        <w:rPr>
          <w:strike/>
        </w:rPr>
        <w:t xml:space="preserve">Sections 730.007(a)(2)(A), (D), and (I)</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548.601(a),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including an inspector or an inspection station, commits an offense if the person:</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or issues a vehicle inspection report with knowledge that the submission or issuance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represents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misrepresents:</w:t>
      </w:r>
    </w:p>
    <w:p w:rsidR="003F3435" w:rsidRDefault="0032493E">
      <w:pPr>
        <w:spacing w:line="480" w:lineRule="auto"/>
        <w:ind w:firstLine="2160"/>
        <w:jc w:val="both"/>
      </w:pPr>
      <w:r>
        <w:t xml:space="preserve">(A)</w:t>
      </w:r>
      <w:r xml:space="preserve">
        <w:t> </w:t>
      </w:r>
      <w:r xml:space="preserve">
        <w:t> </w:t>
      </w:r>
      <w:r>
        <w:t xml:space="preserve">material information in an application in violation of Section 548.402 or 548.403; or</w:t>
      </w:r>
    </w:p>
    <w:p w:rsidR="003F3435" w:rsidRDefault="0032493E">
      <w:pPr>
        <w:spacing w:line="480" w:lineRule="auto"/>
        <w:ind w:firstLine="2160"/>
        <w:jc w:val="both"/>
      </w:pPr>
      <w:r>
        <w:t xml:space="preserve">(B)</w:t>
      </w:r>
      <w:r xml:space="preserve">
        <w:t> </w:t>
      </w:r>
      <w:r xml:space="preserve">
        <w:t> </w:t>
      </w:r>
      <w:r>
        <w:t xml:space="preserve">information filed with the department under this chapter or as required by department rule;</w:t>
      </w:r>
    </w:p>
    <w:p w:rsidR="003F3435" w:rsidRDefault="0032493E">
      <w:pPr>
        <w:spacing w:line="480" w:lineRule="auto"/>
        <w:ind w:firstLine="1440"/>
        <w:jc w:val="both"/>
      </w:pPr>
      <w:r>
        <w:t xml:space="preserve">(4)</w:t>
      </w:r>
      <w:r xml:space="preserve">
        <w:t> </w:t>
      </w:r>
      <w:r xml:space="preserve">
        <w:t> </w:t>
      </w:r>
      <w:r>
        <w:t xml:space="preserve">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(5)</w:t>
      </w:r>
      <w:r xml:space="preserve">
        <w:t> </w:t>
      </w:r>
      <w:r xml:space="preserve">
        <w:t> </w:t>
      </w:r>
      <w:r>
        <w:t xml:space="preserve">submits information to the department's inspection database indicating that a vehicle has passed the applicable inspections or issues a passing vehicle inspection report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(6)</w:t>
      </w:r>
      <w:r xml:space="preserve">
        <w:t> </w:t>
      </w:r>
      <w:r xml:space="preserve">
        <w:t> </w:t>
      </w:r>
      <w:r>
        <w:t xml:space="preserve">knowingly 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(7)</w:t>
      </w:r>
      <w:r xml:space="preserve">
        <w:t> </w:t>
      </w:r>
      <w:r xml:space="preserve">
        <w:t> </w:t>
      </w:r>
      <w:r>
        <w:t xml:space="preserve">refuses to allow a vehicle's owner to have a qualified person of the owner's choice make a required repair, adjustment, or correction;</w:t>
      </w:r>
    </w:p>
    <w:p w:rsidR="003F3435" w:rsidRDefault="0032493E">
      <w:pPr>
        <w:spacing w:line="480" w:lineRule="auto"/>
        <w:ind w:firstLine="1440"/>
        <w:jc w:val="both"/>
      </w:pPr>
      <w:r>
        <w:t xml:space="preserve">(8)</w:t>
      </w:r>
      <w:r xml:space="preserve">
        <w:t> </w:t>
      </w:r>
      <w:r xml:space="preserve">
        <w:t> </w:t>
      </w:r>
      <w:r>
        <w:t xml:space="preserve">charges for an inspection an amount greater than the authorized fee;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discloses or sells information about a customer, vehicle owner, or vehicle to a person other than the department or the person who is the subject of the information,  including a vehicle identification number, vehicle mileage, or vehicle inspection report, or a customer or vehicle owner's name, address, or phone number;</w:t>
      </w:r>
      <w: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performs an act prohibited by or fails to perform an act required by this chapter or a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730.003, Transportation Code, is amended by adding Subdivisions (1-a) and (1-b) and amending Subdivision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"Aggregate report" means a report created in response to a request for motor vehicle records by combining individual motor vehicle records into cross-tabulated subtotals using defined geographic zones that are at least as large as a zip code but not larger than a county.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"Authorized recipient" means a person who is eligible to receive personal information directly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w:t>
      </w:r>
      <w:r>
        <w:rPr>
          <w:strike/>
        </w:rPr>
        <w:t xml:space="preserve">driver</w:t>
      </w:r>
      <w:r>
        <w:t xml:space="preserve">] identification number, name, address, but not the zip code, </w:t>
      </w:r>
      <w:r>
        <w:rPr>
          <w:u w:val="single"/>
        </w:rPr>
        <w:t xml:space="preserve">e-mail address,</w:t>
      </w:r>
      <w:r>
        <w:t xml:space="preserve"> telephone number, and medical or disability information. 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730.007, Transportation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 </w:t>
      </w:r>
      <w:r>
        <w:rPr>
          <w:u w:val="single"/>
        </w:rPr>
        <w:t xml:space="preserve">the Texas Department of Motor Vehicles, the Department of Public Safety, the Texas Department of Transportation, a</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government agency, including any</w:t>
      </w:r>
      <w:r>
        <w:t xml:space="preserve">] court</w:t>
      </w:r>
      <w:r>
        <w:rPr>
          <w:u w:val="single"/>
        </w:rPr>
        <w:t xml:space="preserve">,</w:t>
      </w:r>
      <w:r>
        <w:t xml:space="preserve"> or </w:t>
      </w:r>
      <w:r>
        <w:rPr>
          <w:u w:val="single"/>
        </w:rPr>
        <w:t xml:space="preserve">a</w:t>
      </w:r>
      <w:r>
        <w:t xml:space="preserve"> law enforcement agency, in carrying out its functions; [</w:t>
      </w:r>
      <w:r>
        <w:rPr>
          <w:strike/>
        </w:rPr>
        <w:t xml:space="preserve">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private person or entity acting on behalf of a government agency in carrying out the functions of the agency;</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use in connection with a matter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motor vehicle or motor vehicle operator safety;</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motor vehicle theft;</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motor vehicle product alterations, recalls, or advisories;</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performance monitoring of motor vehicles, motor vehicle parts, or motor vehicle dealers;</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removal of nonowner records from the original owner records of motor vehicle manufacturers;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use in the normal course of business by a legitimate business or an authorized agent of the business, but only: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use by an insurer</w:t>
      </w:r>
      <w:r>
        <w:rPr>
          <w:u w:val="single"/>
        </w:rPr>
        <w:t xml:space="preserve">,</w:t>
      </w:r>
      <w:r>
        <w:t xml:space="preserve"> [</w:t>
      </w:r>
      <w:r>
        <w:rPr>
          <w:strike/>
        </w:rPr>
        <w:t xml:space="preserve">or</w:t>
      </w:r>
      <w:r>
        <w:t xml:space="preserve">] insurance support organization, or [</w:t>
      </w:r>
      <w:r>
        <w:rPr>
          <w:strike/>
        </w:rPr>
        <w:t xml:space="preserve">by a</w:t>
      </w:r>
      <w:r>
        <w:t xml:space="preserve">] self-insured entity, or an authorized agent of </w:t>
      </w:r>
      <w:r>
        <w:rPr>
          <w:u w:val="single"/>
        </w:rPr>
        <w:t xml:space="preserve">an insurer, insurance support organization, or self-insured entity</w:t>
      </w:r>
      <w:r>
        <w:t xml:space="preserve"> [</w:t>
      </w:r>
      <w:r>
        <w:rPr>
          <w:strike/>
        </w:rPr>
        <w:t xml:space="preserve">the entity</w:t>
      </w:r>
      <w:r>
        <w:t xml:space="preserve">], in connection with claims </w:t>
      </w:r>
      <w:r>
        <w:rPr>
          <w:u w:val="single"/>
        </w:rPr>
        <w:t xml:space="preserve">processing or</w:t>
      </w:r>
      <w:r>
        <w:t xml:space="preserve"> investigation activities, antifraud activities, rating, or underwriting;</w:t>
      </w:r>
    </w:p>
    <w:p w:rsidR="003F3435" w:rsidRDefault="0032493E">
      <w:pPr>
        <w:spacing w:line="480" w:lineRule="auto"/>
        <w:ind w:firstLine="216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use in providing notice to an owner of a </w:t>
      </w:r>
      <w:r>
        <w:rPr>
          <w:u w:val="single"/>
        </w:rPr>
        <w:t xml:space="preserve">vehicle that was</w:t>
      </w:r>
      <w:r>
        <w:t xml:space="preserve"> towed or impounded </w:t>
      </w:r>
      <w:r>
        <w:rPr>
          <w:u w:val="single"/>
        </w:rPr>
        <w:t xml:space="preserve">and is in the possession of a</w:t>
      </w:r>
      <w:r>
        <w:t xml:space="preserve"> vehicle </w:t>
      </w:r>
      <w:r>
        <w:rPr>
          <w:u w:val="single"/>
        </w:rPr>
        <w:t xml:space="preserve">storage facility</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use in connection with the operation of a [</w:t>
      </w:r>
      <w:r>
        <w:rPr>
          <w:strike/>
        </w:rPr>
        <w:t xml:space="preserve">private</w:t>
      </w:r>
      <w:r>
        <w:t xml:space="preserve">] toll transportation facility;</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use by a consumer reporting agency, as defined by the Fair Credit Reporting Act (15 U.S.C. Section 1681 et seq.), for a purpose permitted under that Act;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use by an agent of a motor vehicle manufacturer, dealership, or distributor for issuing notifications concerning motor vehicle alterations, recalls, or advisories;</w:t>
      </w:r>
      <w:r>
        <w:t xml:space="preserve"> or</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if the information is obtained from the Texas Department of Motor Vehicles in connection with individual transactions, use in the ordinary course of business by a person or authorized agent of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salvage vehicle dealer license issued under Chapter 2302,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an independent motor vehicle dealer or wholesale motor vehicle auction general distinguishing number issued under Chapter 503 of this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holds a used automotive parts recycler license issued under Chapter 2309,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licensed by, registered with, or subject to regulatory oversight by the Texas Department of Motor Vehicles,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or the National Credit Union Administration</w:t>
      </w:r>
    </w:p>
    <w:p w:rsidR="003F3435" w:rsidRDefault="0032493E">
      <w:pPr>
        <w:spacing w:line="480" w:lineRule="auto"/>
        <w:ind w:firstLine="2160"/>
        <w:jc w:val="both"/>
      </w:pPr>
      <w:r>
        <w:t xml:space="preserve">[</w:t>
      </w:r>
      <w:r>
        <w:rPr>
          <w:strike/>
        </w:rPr>
        <w:t xml:space="preserve">(L)</w:t>
      </w:r>
      <w:r xml:space="preserve">
        <w:rPr>
          <w:strike/>
        </w:rPr>
        <w:t> </w:t>
      </w:r>
      <w:r xml:space="preserve">
        <w:rPr>
          <w:strike/>
        </w:rPr>
        <w:t> </w:t>
      </w:r>
      <w:r>
        <w:rPr>
          <w:strike/>
        </w:rPr>
        <w:t xml:space="preserve">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Any agency may disclose personal information requested under Subsection (a)(2)(C) only in the form of an aggregate report.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730, Transportation Code, is amended by adding Sections 730.0121, 730.0122, and 730.0123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SALE PROHIBITED.  (a)  A person may not sell to a person who is not an authorized recipient personal information obtained by an agency in connection with a motor vehicle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violates Subsection (a). An offense under this subsection is a misdemeanor punishable by a fine not to exceed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730.0123.</w:t>
      </w:r>
      <w:r>
        <w:rPr>
          <w:u w:val="single"/>
        </w:rPr>
        <w:t xml:space="preserve"> </w:t>
      </w:r>
      <w:r>
        <w:rPr>
          <w:u w:val="single"/>
        </w:rPr>
        <w:t xml:space="preserve"> </w:t>
      </w:r>
      <w:r>
        <w:rPr>
          <w:u w:val="single"/>
        </w:rPr>
        <w:t xml:space="preserve">CIVIL SUIT.  (a)  A person who sells to a person who is not an authorized recipient personal information obtained by an agency in connection with a motor vehicle record is liable to the person who is the subject of the information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sold to a person who is not an authorized recipient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  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from an authorized recipient may not redisclose the personal information to a person who is not an authorized recipient.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 to a person who is not an authorized recipient.</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misdemeanor punishable by a fine not to exceed </w:t>
      </w:r>
      <w:r>
        <w:rPr>
          <w:u w:val="single"/>
        </w:rPr>
        <w:t xml:space="preserve">$100,000 per record of personal information that is a subject of the violation</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violates a rule adopted by an agency relating to the terms or conditions for a release of personal information to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of the agency's final determination of a rule violation,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An offense under this subsection is a misdemeanor punishable by a fine not to exceed $100,000 per record of personal information that is a subject of the violation.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11.030(d), Parks and Wildlife Code; and</w:t>
      </w:r>
    </w:p>
    <w:p w:rsidR="003F3435" w:rsidRDefault="0032493E">
      <w:pPr>
        <w:spacing w:line="480" w:lineRule="auto"/>
        <w:ind w:firstLine="1440"/>
        <w:jc w:val="both"/>
      </w:pPr>
      <w:r>
        <w:t xml:space="preserve">(2)</w:t>
      </w:r>
      <w:r xml:space="preserve">
        <w:t> </w:t>
      </w:r>
      <w:r xml:space="preserve">
        <w:t> </w:t>
      </w:r>
      <w:r>
        <w:t xml:space="preserve">Sections 204.011(c) and (d), Transportation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730.003(1-b),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