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87R10930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dissemination by a state agency of an individual's personal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Government Code, is amended by adding Chapter 2062 to read as follows:</w:t>
      </w:r>
    </w:p>
    <w:p w:rsidR="003F3435" w:rsidRDefault="0032493E">
      <w:pPr>
        <w:spacing w:line="480" w:lineRule="auto"/>
        <w:jc w:val="center"/>
      </w:pPr>
      <w:r>
        <w:rPr>
          <w:u w:val="single"/>
        </w:rPr>
        <w:t xml:space="preserve">CHAPTER 2062. PROHIBITIONS ON DISSEMINATION BY STATE AGENCY OF CERTAIN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means a natural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data" means any information relating to an identified or identifiable individual that directly or indirectly identifies the individual by reference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identifier for the individual, including a name, an identification number, location information, or an online identifier;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factors specific to the physical, physiological, genetic, mental, economic, cultural, or social identity of the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means a department, commission, board, office, council, authority, or other agency in the executive, legislative, or judicial branch of state government, including a university system or institution of higher education as defined by Section 61.003, Education Code, that is created by the constitution or a statute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2062.002.</w:t>
      </w:r>
      <w:r>
        <w:rPr>
          <w:u w:val="single"/>
        </w:rPr>
        <w:t xml:space="preserve"> </w:t>
      </w:r>
      <w:r>
        <w:rPr>
          <w:u w:val="single"/>
        </w:rPr>
        <w:t xml:space="preserve"> </w:t>
      </w:r>
      <w:r>
        <w:rPr>
          <w:u w:val="single"/>
        </w:rPr>
        <w:t xml:space="preserve">PROHIBITED DISSEMINATION.  (a) A state agency may not disseminate to any person any personal data of an individual without the individual's written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retain the written consent of an individual obtained as required under Subsection (a) in the agency's records until the agreement under which the personal data is disseminated expires or is otherwise terminated.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not require an individual to consent to dissemination of the individual's personal data in exchange for access to the services provided by the agency or to the agency's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2062, Government Code, as added by this Act, applies only to information disseminated by a state agency to another person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