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prohibited contracts with companies that discriminate against the firearm or ammunition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THAT DISCRIMINATE AGAINST FIREARM AND AMMUNITION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 means a loaded cartridge case, primer, bullet, or propellant powder with or without a projectile.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organization, association, corporation, partnership, joint venture, limited partnership, limited liability partnership, or limited liability company, including a wholly owned subsidiary, majority-owned subsidiary, parent company, or affiliate of those entities or associations that exists to make a profit. </w:t>
      </w:r>
      <w:r>
        <w:rPr>
          <w:u w:val="single"/>
        </w:rPr>
        <w:t xml:space="preserve"> </w:t>
      </w:r>
      <w:r>
        <w:rPr>
          <w:u w:val="single"/>
        </w:rPr>
        <w:t xml:space="preserve">The term does not include a sole proprietorship.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against a firearm entity or firearm trade association":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with respect to the entity or association,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refuse to engage in the trade of any goods or services with the entity or association based solely on its status as a firearm entity or firearm trade association;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refrain from continuing an existing business relationship with the entity or association based solely on its status as a firearm entity or firearm trade association;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terminate an existing business relationship with the entity or association based solely on its status as a firearm entity or firearm trade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established policies of a merchant, retail seller, or platform that restrict or prohibit the listing or selling of ammunition, firearms, or firearm accessories; and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company's refusal to engage in the trade of any goods or services, decision to refrain from continuing an existing business relationship, or decision to terminate an existing business relationship:</w:t>
      </w:r>
    </w:p>
    <w:p w:rsidR="003F3435" w:rsidRDefault="0032493E">
      <w:pPr>
        <w:spacing w:line="480" w:lineRule="auto"/>
        <w:ind w:firstLine="3600"/>
        <w:jc w:val="both"/>
      </w:pPr>
      <w:r>
        <w:rPr>
          <w:u w:val="single"/>
        </w:rPr>
        <w:t xml:space="preserve">(aa)</w:t>
      </w:r>
      <w:r>
        <w:rPr>
          <w:u w:val="single"/>
        </w:rPr>
        <w:t xml:space="preserve"> </w:t>
      </w:r>
      <w:r>
        <w:rPr>
          <w:u w:val="single"/>
        </w:rPr>
        <w:t xml:space="preserve"> </w:t>
      </w:r>
      <w:r>
        <w:rPr>
          <w:u w:val="single"/>
        </w:rPr>
        <w:t xml:space="preserve">to comply with federal, state, or local law, policy, or regulations or a directive by a regulatory agency; or</w:t>
      </w:r>
    </w:p>
    <w:p w:rsidR="003F3435" w:rsidRDefault="0032493E">
      <w:pPr>
        <w:spacing w:line="480" w:lineRule="auto"/>
        <w:ind w:firstLine="3600"/>
        <w:jc w:val="both"/>
      </w:pPr>
      <w:r>
        <w:rPr>
          <w:u w:val="single"/>
        </w:rPr>
        <w:t xml:space="preserve">(bb)</w:t>
      </w:r>
      <w:r>
        <w:rPr>
          <w:u w:val="single"/>
        </w:rPr>
        <w:t xml:space="preserve"> </w:t>
      </w:r>
      <w:r>
        <w:rPr>
          <w:u w:val="single"/>
        </w:rPr>
        <w:t xml:space="preserve"> </w:t>
      </w:r>
      <w:r>
        <w:rPr>
          <w:u w:val="single"/>
        </w:rPr>
        <w:t xml:space="preserve">for any traditional business reason that is specific to the customer or potential customer and not based solely on an entity's or association's status as a firearm entity or firearm trade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"Firearm" means a weapon that expels a projectile by the action of explosive or expanding gases.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"Firearm accessory" means a device specifically designed or adapted to enable an individual to wear, carry, store, or mount a firearm on the individual or on a conveyance and an item used in conjunction with or mounted on a firearm that is not essential to the basic function of the firearm.  The term includes a detachable firearm magazine.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"Firearm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firearm, firearm accessory, or ammunition manufacturer, distributor, wholesaler, supplier, or retailer;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sport shooting range as defined by Section 250.001,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trade association" means any person, corporation, unincorporated association, federation, business league, or business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organized or operated for profit and for which none of its net earnings inures to the benefit of any private shareholder or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two or more firearm entities as members;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exempt from federal income taxation under Section 501(a), Internal Revenue Code of 1986, as an organization described by Section 501(c) of that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governmental entity and a company with at least 10</w:t>
      </w:r>
      <w:r>
        <w:rPr>
          <w:u w:val="single"/>
        </w:rPr>
        <w:t xml:space="preserve"> </w:t>
      </w:r>
      <w:r>
        <w:rPr>
          <w:u w:val="single"/>
        </w:rPr>
        <w:t xml:space="preserve">full-time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value of at least $100,000 that is paid wholly or partly from public funds of the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and Section 2274.003, a governmental entity may not enter into a contract with a company for the purchase of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 practice, policy, guidance, or directive that discriminates against a firearm entity or firearm trade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discriminate during the term of the contract against a firearm entity or firearm trade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governmental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contracts with a sole-source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any bids from a company that is able to provide the written verification required by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2274.003.</w:t>
      </w:r>
      <w:r>
        <w:rPr>
          <w:u w:val="single"/>
        </w:rPr>
        <w:t xml:space="preserve"> </w:t>
      </w:r>
      <w:r>
        <w:rPr>
          <w:u w:val="single"/>
        </w:rPr>
        <w:t xml:space="preserve"> </w:t>
      </w:r>
      <w:r>
        <w:rPr>
          <w:u w:val="single"/>
        </w:rPr>
        <w:t xml:space="preserve">CERTAIN CONTRACTS EXEMPTED.  (a)  A contract entered into in connection with or relating to the issuance, sale, or delivery of notes under Subchapter H, Chapter 404, or the administration of matters related to the notes, including the investment of note proceeds, is exempt from this chapter if, in the comptroller's sole discretion, the comptroller determines that compliance with Section 2274.002 is likely to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issuance, sale, or delivery that is sufficient to address the general revenue cash flow shortfall forecast;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matters related to the notes.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determination under Subsection (a), the comptroller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survey potential respondents or bidders to a solicitation for a contract described by Subsection (a) to determine the number of qualified potential respondents or bidders that are able to provide the written verification required by Section 2274.002;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historical bidding performance of qualified potential bidders.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 passed the Senate on </w:t>
      </w:r>
      <w:r>
        <w:t xml:space="preserve"> </w:t>
      </w:r>
      <w:r>
        <w:t xml:space="preserve"> </w:t>
      </w:r>
      <w:r>
        <w:t xml:space="preserve"> </w:t>
      </w:r>
      <w:r>
        <w:t xml:space="preserve">April 15, 2021, by the following vote:  Yeas</w:t>
      </w:r>
      <w:r xml:space="preserve">
        <w:t> </w:t>
      </w:r>
      <w:r>
        <w:t xml:space="preserve">18, Nays</w:t>
      </w:r>
      <w:r xml:space="preserve">
        <w:t> </w:t>
      </w:r>
      <w:r>
        <w:t xml:space="preserve">12; and that the Senate concurred in House amendments on May 28, 2021, by the following vote:  Yeas</w:t>
      </w:r>
      <w:r xml:space="preserve">
        <w:t> </w:t>
      </w:r>
      <w:r>
        <w:t xml:space="preserve">19,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 passed the House, with amendments, on May 13, 2021, by the following vote:  Yeas</w:t>
      </w:r>
      <w:r xml:space="preserve">
        <w:t> </w:t>
      </w:r>
      <w:r>
        <w:t xml:space="preserve">86, Nays</w:t>
      </w:r>
      <w:r xml:space="preserve">
        <w:t> </w:t>
      </w:r>
      <w:r>
        <w:t xml:space="preserve">60,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