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fixing the amount of bail, to the release of certain defendants on a bail bond or personal bond, to related duties of a magistrate in a criminal case, to the reporting of information pertaining to bail bonds, and to the regulation of charitable bail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17.03(b) and (b-1),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Only the </w:t>
      </w:r>
      <w:r>
        <w:rPr>
          <w:u w:val="single"/>
        </w:rPr>
        <w:t xml:space="preserve">trial</w:t>
      </w:r>
      <w:r>
        <w:t xml:space="preserve"> court </w:t>
      </w:r>
      <w:r>
        <w:rPr>
          <w:u w:val="single"/>
        </w:rPr>
        <w:t xml:space="preserve">with jurisdiction over</w:t>
      </w:r>
      <w:r>
        <w:t xml:space="preserve"> [</w:t>
      </w:r>
      <w:r>
        <w:rPr>
          <w:strike/>
        </w:rPr>
        <w:t xml:space="preserve">before whom</w:t>
      </w:r>
      <w:r>
        <w:t xml:space="preserve">] the case [</w:t>
      </w:r>
      <w:r>
        <w:rPr>
          <w:strike/>
        </w:rPr>
        <w:t xml:space="preserve">is pending</w:t>
      </w:r>
      <w:r>
        <w:t xml:space="preserve">]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Section 29.03 (Aggravated Robbery);</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Section 30.02 (Burglary);</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Section 21.02 (Continuous Sexual Abuse of Young Child or Children); or</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(b-1)</w:t>
      </w:r>
      <w:r xml:space="preserve">
        <w:t> </w:t>
      </w:r>
      <w:r xml:space="preserve">
        <w:t> </w:t>
      </w:r>
      <w:r>
        <w:t xml:space="preserve">A </w:t>
      </w:r>
      <w:r>
        <w:rPr>
          <w:u w:val="single"/>
        </w:rPr>
        <w:t xml:space="preserve">defendant is not eligible to be released</w:t>
      </w:r>
      <w:r>
        <w:t xml:space="preserve"> [</w:t>
      </w:r>
      <w:r>
        <w:rPr>
          <w:strike/>
        </w:rPr>
        <w:t xml:space="preserve">magistrate may not release</w:t>
      </w:r>
      <w:r>
        <w:t xml:space="preserve">] on personal bond </w:t>
      </w:r>
      <w:r>
        <w:rPr>
          <w:u w:val="single"/>
        </w:rPr>
        <w:t xml:space="preserve">if the</w:t>
      </w:r>
      <w:r>
        <w:t xml:space="preserve"> [</w:t>
      </w:r>
      <w:r>
        <w:rPr>
          <w:strike/>
        </w:rPr>
        <w:t xml:space="preserve">a</w:t>
      </w:r>
      <w:r>
        <w:t xml:space="preserv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who,</w:t>
      </w:r>
      <w:r>
        <w:t xml:space="preserve">] at the time of the commission of the charged offense, is civilly committed as a sexually violent predator under Chapter 841, Health and Safety Code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 the preceding two years, failed to appear after being released on personal bond or has had a bond found to be insufficient;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charged with committing any offense while released on bail for another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convicted of any felony offense in the preceding three years or any Class A or Class B misdemeanor offense in the preceding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currently charged with multiple offenses, regardless of whether the offenses are pending before the same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charged with any offense under Title 5, Penal Code, in which there is an identifiable victim;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charged with an offense that involves possession of four or more grams of a controlled substance;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charged with, or in the preceding five years was charged with, an offense under Section 38.06, Penal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has been convicted of an offense under Section 22.011 or 22.021, Penal Code;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charged with any offense involving the use of a deadly weapon as defined by Section 1.07,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FIXING AMOUNT OF BAIL.  </w:t>
      </w:r>
      <w:r>
        <w:rPr>
          <w:u w:val="single"/>
        </w:rPr>
        <w:t xml:space="preserve">(a)</w:t>
      </w:r>
      <w:r>
        <w:t xml:space="preserve">  The amount of bail to be required in any case is to be regulated by the court, judge, magistrate or officer taking the bail; they are to be governed in the exercise of this discretion by the Constitution and by the following rules:</w:t>
      </w:r>
    </w:p>
    <w:p w:rsidR="003F3435" w:rsidRDefault="0032493E">
      <w:pPr>
        <w:spacing w:line="480" w:lineRule="auto"/>
        <w:ind w:firstLine="720"/>
        <w:jc w:val="both"/>
      </w:pPr>
      <w:r>
        <w:t xml:space="preserve">1.</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720"/>
        <w:jc w:val="both"/>
      </w:pPr>
      <w:r>
        <w:t xml:space="preserve">2.</w:t>
      </w:r>
      <w:r xml:space="preserve">
        <w:t> </w:t>
      </w:r>
      <w:r xml:space="preserve">
        <w:t> </w:t>
      </w:r>
      <w:r>
        <w:t xml:space="preserve">The power to require bail is not to be so used as to make it an instrument of oppression.</w:t>
      </w:r>
    </w:p>
    <w:p w:rsidR="003F3435" w:rsidRDefault="0032493E">
      <w:pPr>
        <w:spacing w:line="480" w:lineRule="auto"/>
        <w:ind w:firstLine="720"/>
        <w:jc w:val="both"/>
      </w:pPr>
      <w:r>
        <w:t xml:space="preserve">3.</w:t>
      </w:r>
      <w:r xml:space="preserve">
        <w:t> </w:t>
      </w:r>
      <w:r xml:space="preserve">
        <w:t> </w:t>
      </w:r>
      <w:r>
        <w:t xml:space="preserve">The nature of the offense and the circumstances under which it was committed are to be considered.</w:t>
      </w:r>
    </w:p>
    <w:p w:rsidR="003F3435" w:rsidRDefault="0032493E">
      <w:pPr>
        <w:spacing w:line="480" w:lineRule="auto"/>
        <w:ind w:firstLine="720"/>
        <w:jc w:val="both"/>
      </w:pPr>
      <w:r>
        <w:t xml:space="preserve">4.</w:t>
      </w:r>
      <w:r xml:space="preserve">
        <w:t> </w:t>
      </w:r>
      <w:r xml:space="preserve">
        <w:t> </w:t>
      </w:r>
      <w:r>
        <w:t xml:space="preserve">The ability to make bail is to be regarded, and proof may be taken upon this point.</w:t>
      </w:r>
    </w:p>
    <w:p w:rsidR="003F3435" w:rsidRDefault="0032493E">
      <w:pPr>
        <w:spacing w:line="480" w:lineRule="auto"/>
        <w:ind w:firstLine="720"/>
        <w:jc w:val="both"/>
      </w:pPr>
      <w:r>
        <w:t xml:space="preserve">5.</w:t>
      </w:r>
      <w:r xml:space="preserve">
        <w:t> </w:t>
      </w:r>
      <w:r xml:space="preserve">
        <w:t> </w:t>
      </w:r>
      <w:r>
        <w:t xml:space="preserve">The future safety of a victim of the alleged offense and the community shall be considered.</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The criminal history and immigration status of the defendant, including any prior offenses committed against a public servant or involving family violence,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17.1501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BAIL SCHEDULE; HEARING.  (a)  The judges of the courts trying criminal cases in a county may promulgate a standing order setting out a schedule of suggested bail amounts for any offense over which the courts have jurisdiction under Chapter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unable to give bail in the amount required by the schedule may file with the applicable magistrate a sworn affidavit declaring the maximum amount that the defendant would be able to pay or provide as security within 48 hours of arrest for purposes of obtaining a bail bond.  The affidavit must set out sufficient facts to clearly establish that amount, given the totality of the defendant's circumstances.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who files an affidavit under Subsection (b) is entitled to a hearing before the magistrate on the bail amount.  The hearing must be held not later than 48 hours after the charges were filed against the defendant or 48 hours after the defendant was arrested, whichever is later.  At the hearing, the magistrate shall consider the facts stated in the affidavit and the rules established by Article 17.15 and set the defendant's bail.  The magistrate shall issue oral or written findings of fact supporting the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who has not given bail before the fourth business day after the date bail is set under this article shall be taken before the court before whom the case is pending for a hearing to reconsider the bail amount.  At a hearing under this subsection, the court may adjust the bail, keep the bail as previously set, or impose any additional conditions of release on bond the court considers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article may not be interpreted as creating a right to release on bail in this state that does not exist under the constitution of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27.005, Government Code, is amended to read as follows:</w:t>
      </w:r>
    </w:p>
    <w:p w:rsidR="003F3435" w:rsidRDefault="0032493E">
      <w:pPr>
        <w:spacing w:line="480" w:lineRule="auto"/>
        <w:ind w:firstLine="720"/>
        <w:jc w:val="both"/>
      </w:pPr>
      <w:r>
        <w:t xml:space="preserve">Sec.</w:t>
      </w:r>
      <w:r xml:space="preserve">
        <w:t> </w:t>
      </w:r>
      <w:r>
        <w:t xml:space="preserve">27.005.</w:t>
      </w:r>
      <w:r xml:space="preserve">
        <w:t> </w:t>
      </w:r>
      <w:r xml:space="preserve">
        <w:t> </w:t>
      </w:r>
      <w:r>
        <w:t xml:space="preserve">EDUCATIONAL REQUIREMENTS.  (a)  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 an 80-hour course in the performance of the justice's duties</w:t>
      </w:r>
      <w:r>
        <w:rPr>
          <w:u w:val="single"/>
        </w:rPr>
        <w:t xml:space="preserve">, including not less than four hours of instruction regarding the justice's duties: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setting bail in criminal cases</w:t>
      </w:r>
      <w:r>
        <w:t xml:space="preserve">; and</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hours of instruction regarding the justice's duties: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respect to setting bail in criminal cases; and</w:t>
      </w:r>
    </w:p>
    <w:p w:rsidR="003F3435" w:rsidRDefault="0032493E">
      <w:pPr>
        <w:spacing w:line="480" w:lineRule="auto"/>
        <w:ind w:firstLine="2160"/>
        <w:jc w:val="both"/>
      </w:pPr>
      <w:r>
        <w:rPr>
          <w:u w:val="single"/>
        </w:rPr>
        <w:t xml:space="preserve">(B)</w:t>
      </w:r>
      <w:r xml:space="preserve">
        <w:t> </w:t>
      </w:r>
      <w:r xml:space="preserve">
        <w:t> </w:t>
      </w:r>
      <w:r>
        <w:t xml:space="preserve">10 hours of instruction regarding substantive, procedural, and evidentiary law in civil matters.</w:t>
      </w:r>
    </w:p>
    <w:p w:rsidR="003F3435" w:rsidRDefault="0032493E">
      <w:pPr>
        <w:spacing w:line="480" w:lineRule="auto"/>
        <w:ind w:firstLine="720"/>
        <w:jc w:val="both"/>
      </w:pPr>
      <w:r>
        <w:t xml:space="preserve">(b)</w:t>
      </w:r>
      <w:r xml:space="preserve">
        <w:t> </w:t>
      </w:r>
      <w:r xml:space="preserve">
        <w:t> </w:t>
      </w:r>
      <w:r>
        <w:t xml:space="preserve">The courses </w:t>
      </w:r>
      <w:r>
        <w:rPr>
          <w:u w:val="single"/>
        </w:rPr>
        <w:t xml:space="preserve">must</w:t>
      </w:r>
      <w:r>
        <w:t xml:space="preserve"> [</w:t>
      </w:r>
      <w:r>
        <w:rPr>
          <w:strike/>
        </w:rPr>
        <w:t xml:space="preserve">may</w:t>
      </w:r>
      <w:r>
        <w:t xml:space="preserve">] be completed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an accredited state-supported school of higher education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 course in bail bond law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approved by the State Bar of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offered by a public or accredited private institution of higher education in this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71, Government Code, is amended by adding Section 71.0354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71.0354.</w:t>
      </w:r>
      <w:r>
        <w:rPr>
          <w:u w:val="single"/>
        </w:rPr>
        <w:t xml:space="preserve"> </w:t>
      </w:r>
      <w:r>
        <w:rPr>
          <w:u w:val="single"/>
        </w:rPr>
        <w:t xml:space="preserve"> </w:t>
      </w:r>
      <w:r>
        <w:rPr>
          <w:u w:val="single"/>
        </w:rPr>
        <w:t xml:space="preserve">BAIL &amp; PRETRIAL RELEASE INFORMATION. (a) As a component of the official monthly report submitted to the Office of Court Administration of the Texas Judicial System, the clerk of each court at law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bail bonds given for each level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type of bail bonds given;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that posted bail;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released on bail who failed to reappear;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defendants released on bail who committed new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shall post the information in a publicly accessible place on the agency's website without disclosing any personal information of any defendants, judges, or magistrates.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17, Code of Criminal Procedure, is amended by adding Article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one defendant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charged with misdemeanors.  The organization may not pay more than a total amount of $2,000 for each defendant, regardless of the number of misdemeanor charges pending against the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sheriff of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10 and June 10 of each year, a charitable bail organization shall submit, to the sheriff of each county in which the organization files an affidavit under Subsection (c), a report that includes the following information for each donation of $100 or more received after the organization's most recent report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telephone number of the donor;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donated.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charitable bail organization's initial report submitted under Subsection (f) must include the information required by that subsection for donations received by the organization in the preceding two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charitable bail organization shall maintain records of all donations received and bail bonds paid by the organization until the fifth anniversary of the date the donation was received or bond was paid.  The sheriff or county clerk may audit the records.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sheriff may suspend a charitable bail organization from paying bail bonds in the sheriff's county for one year if the sheriff determines the organization has paid bonds in violation of this article.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charitable bail organization shall maintain an office in each county in which the organization files an affidavit under Subsection (c).</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Section 27.005(a)(1), Government Code, as amended by this Act, applies only to a justice of the peace who is first elected or appointed on or after the effective date of this Act.  A justice of the peace who is first elected or appointed before the effective date of this Act is governed by the law in effect on the date the justice was first elected or appointed,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justice of the peace serving on the effective date of this Act must complete the justice's initial two hours of instruction required by Section 27.005(a)(2)(A), Government Code, as added by this Act, not later than September 1, 2022.</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