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87R24688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29</w:t>
      </w:r>
    </w:p>
    <w:p w:rsidR="003F3435" w:rsidRDefault="0032493E">
      <w:pPr>
        <w:ind w:firstLine="720"/>
        <w:jc w:val="both"/>
      </w:pPr>
      <w:r>
        <w:t xml:space="preserve">(Dutton, King of Hemphill)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29:</w:t>
      </w: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C.S.S.B.</w:t>
      </w:r>
      <w:r xml:space="preserve">
        <w:t> </w:t>
      </w:r>
      <w:r>
        <w:t xml:space="preserve">No.</w:t>
      </w:r>
      <w:r xml:space="preserve">
        <w:t> </w:t>
      </w:r>
      <w:r>
        <w:t xml:space="preserve">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public school students to compete in interscholastic athletic competitions based on sex and a study conducted by the University Interscholastic League on the effects of allowing a student to participate in an athletic competition designated for the sex opposite to the student's sex.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INTERSCHOLASTIC ATHLETIC COMPETITION BASED ON SEX.  (a)  In this section, "league" means the University Interscholastic League.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interscholastic athletic team sponsored or authorized by a school district or open-enrollment charter school may not allow a student to compete in an interscholastic athletic competition sponsored or authorized by the district or school that is designated for the sex opposite to the student's sex as correctly stated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official birth certificate;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official birth certificate is unobtainable, another government record.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interscholastic athletic team described by Subsection (b) may allow a female student to compete in an interscholastic athletic competition that is designated for male students if a corresponding interscholastic athletic competition designated for female students is not offered or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league shall conduct a study to determine if allowing a student to participate in an interscholastic athletic competition that is sponsored or authorized by a school district or open-enrollment charter school and is designated for the sex opposite to the student's sex: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causes disruptions among the student's interscholastic athletic team;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opportunities for students of the sex for which the competition is designated.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2026, the league shall submit to the legislature a report on the results of the study conducted under Subsection (d)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league shall adopt rules to implement this section, provided that the rules must be approved by the commissioner in accordance with Section 33.083(b).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