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29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11,</w:t>
      </w:r>
      <w:r xml:space="preserve">
        <w:t> </w:t>
      </w:r>
      <w:r>
        <w:t xml:space="preserve">2021, read first time and referred to Committee on Education; March 17, 2021, rereferred to Committee on State Affairs; March</w:t>
      </w:r>
      <w:r xml:space="preserve">
        <w:t> </w:t>
      </w:r>
      <w:r>
        <w:t xml:space="preserve">30,</w:t>
      </w:r>
      <w:r xml:space="preserve">
        <w:t> </w:t>
      </w:r>
      <w:r>
        <w:t xml:space="preserve">2021, reported adversely, with favorable Committee Substitute by the following vote:</w:t>
      </w:r>
      <w:r>
        <w:t xml:space="preserve"> </w:t>
      </w:r>
      <w:r>
        <w:t xml:space="preserve"> </w:t>
      </w:r>
      <w:r>
        <w:t xml:space="preserve">Yeas 5, Nays 2; March</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29</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public school students to compete in interscholastic athletic competitions based on biological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INTERSCHOLASTIC ATHLETIC COMPETITION BASED ON BIOLOGICAL SEX.  (a) </w:t>
      </w:r>
      <w:r>
        <w:rPr>
          <w:u w:val="single"/>
        </w:rPr>
        <w:t xml:space="preserve"> </w:t>
      </w:r>
      <w:r>
        <w:rPr>
          <w:u w:val="single"/>
        </w:rPr>
        <w:t xml:space="preserve">Except as provided by Subsection (b), an interscholastic athletic team sponsored or authorized by a school district or open-enrollment charter school may not allow a student to compete in an interscholastic athletic competition sponsored or authorized by the district or school that is designated for the biological sex opposite to the student's biological sex as determined at the student's birth and correctly stated on the student's official birth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interscholastic athletic team described by Subsection (a)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statement of a student's biological sex on the student's official birth certificate is considered to have correctly stated the student's biological sex as determined at the student's birth if the statement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entered at or near the time of the student's birth, as determined by University Interscholastic League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modified to correct a clerical error in the student's biological sex.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