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87R1649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et al.</w:t>
      </w:r>
      <w:r xml:space="preserve">
        <w:tab wTab="150" tlc="none" cTlc="0"/>
      </w:r>
      <w:r>
        <w:t xml:space="preserve">S.B.</w:t>
      </w:r>
      <w:r xml:space="preserve">
        <w:t> </w:t>
      </w:r>
      <w:r>
        <w:t xml:space="preserve">No.</w:t>
      </w:r>
      <w:r xml:space="preserve">
        <w:t> </w:t>
      </w:r>
      <w:r>
        <w:t xml:space="preserve">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of certain discriminatory restrictions and provisions from certain real property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 Property Code, is amended by adding Section 5.0265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5.0265.</w:t>
      </w:r>
      <w:r>
        <w:rPr>
          <w:u w:val="single"/>
        </w:rPr>
        <w:t xml:space="preserve"> </w:t>
      </w:r>
      <w:r>
        <w:rPr>
          <w:u w:val="single"/>
        </w:rPr>
        <w:t xml:space="preserve"> </w:t>
      </w:r>
      <w:r>
        <w:rPr>
          <w:u w:val="single"/>
        </w:rPr>
        <w:t xml:space="preserve">REMOVAL OF DISCRIMINATORY RESTRICTIONS OR PROVISIONS FROM CERTAIN REAL PROPERTY RECORDS.  (a) To the extent of any conflict between this section and other law, this section prevails.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of real property or an interest in real property may request, on a form developed under Subsection (d), that the county clerk of a county in which all or part of the property is located: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remove from any instrument recorded in the county's real property records a restriction, whether express or incorporated by reference, that affects the property and that is void under Section 5.026(a);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 from the deed that conveyed the property or the interest in the property a provision, whether express or incorporated by reference, that is void under Section 5.026(a).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a county clerk receives a request under Subsection (b), the county clerk shall determine whether the restriction or provision identified in the request is void under Section 5.026(a)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county clerk determines the restriction or provision identified in the request is void under Section 5.026(a):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remove the restriction from the instrument or the provision from the deed, as applicable;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attach to the instrument or deed, as applicable, a document stating that a restriction or provision  void under Section 5.026 has been removed from the instrument or deed;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county clerk determines the restriction or provision identified in the request is not void under Section 5.026(a), notify the person who submitted the request that the restriction or provision has not been removed.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shall develop the form required by Subsection (b).  The form must allow the person requesting the removal of a restriction or provision  under this section to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owner of the property or interest in the property that is the subject of the request;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property sufficient for a county clerk to identify the recorded instrument or deed that is the subject of the request, including the address of the property, if any;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restriction or provision the owner believes is void under Section 5.026(a).</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county clerk shall make the form developed under Subsection (d) available on the county clerk's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2021, the office of the attorney general shall develop and make available to each county clerk the form required by Section 5.0265(d), Property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Except as provided by Subsection (b) of this section, this Act takes effect January 1, 2022.</w:t>
      </w:r>
    </w:p>
    <w:p w:rsidR="003F3435" w:rsidRDefault="0032493E">
      <w:pPr>
        <w:spacing w:line="480" w:lineRule="auto"/>
        <w:ind w:firstLine="720"/>
        <w:jc w:val="both"/>
      </w:pPr>
      <w:r>
        <w:t xml:space="preserve">(b)</w:t>
      </w:r>
      <w:r xml:space="preserve">
        <w:t> </w:t>
      </w:r>
      <w:r xml:space="preserve">
        <w:t> </w:t>
      </w:r>
      <w:r>
        <w:t xml:space="preserve">Section 2 of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