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87R2149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against sexual harassment in the workplace.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Labor Code, is amended by adding Subchapter C-1 to read as follows:</w:t>
      </w:r>
    </w:p>
    <w:p w:rsidR="003F3435" w:rsidRDefault="0032493E">
      <w:pPr>
        <w:spacing w:line="480" w:lineRule="auto"/>
        <w:jc w:val="center"/>
      </w:pPr>
      <w:r>
        <w:rPr>
          <w:u w:val="single"/>
        </w:rPr>
        <w:t xml:space="preserve">SUBCHAPTER C-1.  SEXUAL HARASSMENT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21.141.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employs one or more employees;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acts directly in the interests of an employer in relation to an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harassment" means an unwelcome sexual advance, a request for a sexual favor, or any other verbal or physical conduct of a sexual nature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submission to the advance, request, or conduct is made a term or condition of an individual's employment, either explicitly or implicitly;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submission to or rejection of the advance, request, or conduct by an individual is used as the basis for a decision affecting the individual's employment;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advance, request, or conduct has the purpose or effect of unreasonably interfering with an individual's work performance;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advance, request, or conduct has the purpose or effect of creating an intimidating, hostile, or offensive working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21.142.</w:t>
      </w:r>
      <w:r>
        <w:rPr>
          <w:u w:val="single"/>
        </w:rPr>
        <w:t xml:space="preserve"> </w:t>
      </w:r>
      <w:r>
        <w:rPr>
          <w:u w:val="single"/>
        </w:rPr>
        <w:t xml:space="preserve"> </w:t>
      </w:r>
      <w:r>
        <w:rPr>
          <w:u w:val="single"/>
        </w:rPr>
        <w:t xml:space="preserve">UNLAWFUL EMPLOYMENT PRACTICE.  An employer commits an unlawful employment practice if sexual harassment of an employee occurs and the employer or the employer's agents or supervisors: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 or should have known that the conduct constituting sexual harassment was occurring;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 to take immediate and appropriate corrective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based on conduct that occurs on or after the effective date of this Act.  A claim that is based on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