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competitive and integrated employment initiative for certain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531.02448.</w:t>
      </w:r>
      <w:r>
        <w:rPr>
          <w:u w:val="single"/>
        </w:rPr>
        <w:t xml:space="preserve"> </w:t>
      </w:r>
      <w:r>
        <w:rPr>
          <w:u w:val="single"/>
        </w:rPr>
        <w:t xml:space="preserve"> </w:t>
      </w:r>
      <w:r>
        <w:rPr>
          <w:u w:val="single"/>
        </w:rPr>
        <w:t xml:space="preserve">COMPETITIVE AND INTEGRATED EMPLOYMENT INITIATIVE FOR CERTAIN MEDICAID RECIPIENTS.  (a)  This section applies to an individual receiving services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following waiver programs established under Section 1915(c), Social Security Act (42 U.S.C. Section 1396n(c)):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home and community-based services (HCS) waiver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home living (TxHmL) waiver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deaf-blind with multiple disabilities (DBMD) waiver program;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community living assistance and support services (CLASS) waiver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STAR+PLUS home and community-based services (HCBS) waiver program established under Section 1115, Social Security Act (42 U.S.C. Section 1315).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develop a uniform process that complies with the policy adopted under Section 531.02447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the goals of and competitive and integrated employment opportunities and related employment services available to an individual to whom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identified goals and available opportunities and services to direct the individual's plan of care at the time the plan is developed or renewed.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entity responsible for the development and renewal of the plan of care for an individual to whom this section applies shall use the uniform process the executive commissioner develops to assess the individual's goals, opportunities, and services described by Subsection (b) and incorporate those goals, opportunities, and services into the plan of care.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strategies to increase the number of individuals who are receiving employment services from the Texas Workforce Commission or through the waiver program in which an individual is enrolled;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 reasonable number of individuals who indicate a desire to work to receive employment services and ensure those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received employment services during the state fiscal biennium ending August 31, 2023, or during the period beginning September 1, 2023, and ending December 31, 2023, from the Texas Workforce Commission or through the waiver program in which an individual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receiving employment services on December 31, 2023, from the Texas Workforce Commission or through the waiver program in which an individual is enrolled;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each individual who indicates a desire to work is referred to receive employment services from the Texas Workforce Commission or through the waiver program in which the individual is enrolled.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31 of each even-numbered year, the executive commissioner shall prepare and submit to the governor, lieutenant governor, speaker of the house of representatives, and legislature a written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to whom this section applies who are receiving employment services in accordance with rules adopted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employment services described by Subdivision (1) are provided by the Texas Workforce Commission, through the waiver program in which an individual is enrolled, or both;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individuals to whom this section applies who have obtained competitive and integrated employment, categorized by waiver program and, if applicable, an individual's level of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Section 531.02448,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531.02448(e), Government Code, as added by this Act, the executive commissioner of the Health and Human Services Commission shall submit the first report required by that section not later than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Health and Human Services Commission is required to implement a provision of this Act only if the legislature appropriates money to the commission specifically for that purpose.  If the legislature does not appropriate money specifically for that purpose, the commission may, but is not required to, implement a provision of this Act using other appropriations that are available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