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56</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current or former federal prosecutor or public defender.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w:t>
      </w:r>
      <w:r>
        <w:t xml:space="preserve">and the spouse or child of the </w:t>
      </w:r>
      <w:r>
        <w:rPr>
          <w:u w:val="single"/>
        </w:rPr>
        <w:t xml:space="preserve">current or former</w:t>
      </w:r>
      <w:r>
        <w:t xml:space="preserve"> </w:t>
      </w:r>
      <w:r>
        <w:t xml:space="preserve">attorney </w:t>
      </w:r>
      <w:r>
        <w:rPr>
          <w:u w:val="single"/>
        </w:rPr>
        <w:t xml:space="preserve">or public defender, regardless of whether the person complies with Section 552.024 or 552.1175;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current or former United States attorney, assistant United States attorney, federal public defender, deputy federal public defender, or assistant federal public defender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and the spouse and child of the attorney </w:t>
      </w:r>
      <w:r>
        <w:rPr>
          <w:u w:val="single"/>
        </w:rPr>
        <w:t xml:space="preserve">or public defender</w:t>
      </w:r>
      <w:r>
        <w:t xml:space="preserve">;</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