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87R2603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mental health program that includes peer-to-peer counseling for certain law enforcement personnel.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1001, Health and Safety Code, is amended by adding Subchapter I-1 to read as follows:</w:t>
      </w:r>
    </w:p>
    <w:p w:rsidR="003F3435" w:rsidRDefault="0032493E">
      <w:pPr>
        <w:spacing w:line="480" w:lineRule="auto"/>
        <w:jc w:val="center"/>
      </w:pPr>
      <w:r>
        <w:rPr>
          <w:u w:val="single"/>
        </w:rPr>
        <w:t xml:space="preserve">SUBCHAPTER I-1.  MENTAL HEALTH PROGRAMS FOR LAW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1001.231.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"Law enforcement officer" means a person identified as a peace officer under Article 2.12(1), (2), (3), or (4),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"Peer" means a person who is a law enforcement officer or a law enforcement officer's family member.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1001.232.</w:t>
      </w:r>
      <w:r>
        <w:rPr>
          <w:u w:val="single"/>
        </w:rPr>
        <w:t xml:space="preserve"> </w:t>
      </w:r>
      <w:r>
        <w:rPr>
          <w:u w:val="single"/>
        </w:rPr>
        <w:t xml:space="preserve"> </w:t>
      </w:r>
      <w:r>
        <w:rPr>
          <w:u w:val="single"/>
        </w:rPr>
        <w:t xml:space="preserve">GENERAL POWERS AND DUTIES.  (a)  The executive commissioner shall develop a mental health intervention program for law enforcement officers.  The program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peer-to-peer counseling;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access to licensed mental health professionals for peer service coordinators and peers;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training approved by the commission for peer service coordinators, licensed mental health professionals, and peers;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technical assistance for peer service coordinators, licensed mental health professionals, and peers;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identification, retention, and screening of community-based licensed mental health professionals;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suicide prevention training for peer service coordinators and peers;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coordination of mental health first aid for law enforcement officers and immediate family members of law enforcement officers.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part of the mental health intervention program the executive commissioner shall develop a mental health initiative for law enforcement officers serving in rural jurisdictions.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solicit and ensure that specialized training is provided to persons who are peers and who want to provide peer-to-peer counseling or other peer-to-peer services under the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commissioner may adopt rules necessary to implement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1001.233.</w:t>
      </w:r>
      <w:r>
        <w:rPr>
          <w:u w:val="single"/>
        </w:rPr>
        <w:t xml:space="preserve"> </w:t>
      </w:r>
      <w:r>
        <w:rPr>
          <w:u w:val="single"/>
        </w:rPr>
        <w:t xml:space="preserve"> </w:t>
      </w:r>
      <w:r>
        <w:rPr>
          <w:u w:val="single"/>
        </w:rPr>
        <w:t xml:space="preserve">ANNUAL REPORT.  Not later than December 1 of each year, the executive commissioner shall submit a report to the governor and the legislature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law enforcement officers who received services through the mental health intervention program for law enforcement officers;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peers and peer service coordinators trained;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evaluation of the services provided under this subchapter;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recommendations for program improvements.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2022, the executive commissioner of the Health and Human Services Commission shall develop the mental health intervention program for law enforcement officers, as required under Subchapter I-1, Chapter 1001,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