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 on cost-sharing requirements imposed by a health benefit plan for certain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subchapter applies to coverage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EXCEPTION.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single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1358.101;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and accident coverage provided by a risk pool created under Chapter 172, Local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 (a) In this section, "insulin" means a prescription drug that contains insulin and is used to treat diabetes. The term does not include an insulin drug that is administered to a patient intravenously.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health benefit plan may not impose a cost-sharing provision for insulin if the total amount the enrollee is required to pay exceeds $100 for a 30-day supply.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January 1 of each year, the limit on the amount that an enrollee may be required to pay for a 30-day supply of insulin increases by a percentage equal to any percentage increase from the preceding year in the medical care component of the Consumer Price Index of the Bureau of Labor Statistics of the United States Department of Labor.</w:t>
      </w:r>
      <w:r>
        <w:t xml:space="preserve"> </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 (c) takes effect January 1, 2023.  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