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9,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supplemental information required for inclusion with a written statement of an individualized education program developed for certain public school students who received special education services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COVID-19 Special Education Recovery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INDIVIDUALIZED EDUCATION PROGRAM SUPPLEMENT.  (a)  Except as provided by Subsection (b), for each child who was enrolled in a school district's special education program under this subchapter during the 2019-2020 school year or the 2020-2021 school year, the district shall prepare a supplement to be included with the written statement of the individualized education program developed for the child under Section 29.005(b). The supplement must include information indicating: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written report of the child's full individual and initial evaluation under Section 29.004 was completed during the 2019-2020 school year or the 2020-2021 school year and, if so, whether the report was completed by the date required under that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child's initial individualized education program was developed under Section 29.005(b) during the 2019-2020 school year or the 2020-2021 school year and, if so, whether the program was developed by the date required under 34 C.F.R. Section 300.323(c)(1);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provision of special services to the child under an individualized education program during the 2019-2020 school year or the 2020-2021 school year was interrupted, reduced, delayed, suspended, or discontinued;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compensatory educational services are appropriate for the child based on the information under Subdivisions (1)-(3) or any other factors.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child if during the 2020-2021 school year the written statement of the child's individualized education program documents the information described under Subsections (a)(1)-(4).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29.005(f) and Section 29.0051 do not apply to a supplement prepared for inclusion with a written statement of an individualized education program, as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May 1, 2022, a school district subject to Section 29.0052, Education Code, as added by this Act, shall complete each required supplement to a written statement of an individualized education program, as provided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