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87R2237 MEW-F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serious mental illness under certain group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amending Subdivision (1) and adding Subdivision (5) to read as follows:</w:t>
      </w:r>
    </w:p>
    <w:p w:rsidR="003F3435" w:rsidRDefault="0032493E">
      <w:pPr>
        <w:spacing w:line="480" w:lineRule="auto"/>
        <w:ind w:firstLine="1440"/>
        <w:jc w:val="both"/>
      </w:pPr>
      <w:r>
        <w:t xml:space="preserve">(1)</w:t>
      </w:r>
      <w:r xml:space="preserve">
        <w:t> </w:t>
      </w:r>
      <w:r xml:space="preserve">
        <w:t> </w:t>
      </w:r>
      <w:r>
        <w:t xml:space="preserve">"Serious mental illness" means </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following psychiatric illnesses as defined by the American Psychiatric Association in the Diagnostic and Statistical Manual </w:t>
      </w:r>
      <w:r>
        <w:rPr>
          <w:u w:val="single"/>
        </w:rPr>
        <w:t xml:space="preserve">of Mental Disorders</w:t>
      </w:r>
      <w:r>
        <w:t xml:space="preserve"> </w:t>
      </w:r>
      <w:r>
        <w:t xml:space="preserve">(DSM)</w:t>
      </w:r>
      <w:r>
        <w:rPr>
          <w:u w:val="single"/>
        </w:rPr>
        <w:t xml:space="preserve">, fifth edition, or a later edition adopted by the commissioner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bipolar disorders (hypomanic, manic, depressive, and mixed);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depression in childhood and adolescence;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major depressive disorders (single episode or recurrent);</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obsessive-compulsive disorders;</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paranoid and other psychotic disorders;</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schizo-affective disorders (bipolar or depressive); and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schizophrenia</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posttraumatic stress disorder</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"Posttraumatic stress disorder" means a disorder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diagnostic criteria for posttraumatic stress disorder specified by the American Psychiatric Association in the Diagnostic and Statistical Manual of Mental Disorders, fifth edition, or a later edition adopted by the commissioner;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results in an impairment of a person's functioning in the person's community, employment, family, school, or social group.</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1355.003, Insurance Code, is amended to read as follows:</w:t>
      </w:r>
    </w:p>
    <w:p w:rsidR="003F3435" w:rsidRDefault="0032493E">
      <w:pPr>
        <w:spacing w:line="480" w:lineRule="auto"/>
        <w:ind w:firstLine="720"/>
        <w:jc w:val="both"/>
      </w:pPr>
      <w:r>
        <w:t xml:space="preserve">Sec.</w:t>
      </w:r>
      <w:r xml:space="preserve">
        <w:t> </w:t>
      </w:r>
      <w:r>
        <w:t xml:space="preserve">1355.003.</w:t>
      </w:r>
      <w:r xml:space="preserve">
        <w:t> </w:t>
      </w:r>
      <w:r xml:space="preserve">
        <w:t> </w:t>
      </w:r>
      <w:r>
        <w:rPr>
          <w:u w:val="single"/>
        </w:rPr>
        <w:t xml:space="preserve">EXCEPTIONS</w:t>
      </w:r>
      <w:r>
        <w:t xml:space="preserve"> [</w:t>
      </w:r>
      <w:r>
        <w:rPr>
          <w:strike/>
        </w:rPr>
        <w:t xml:space="preserve">EXCEPTION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1355.003,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or the applicable portion of 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or a portion of 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 or a portion of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group health benefit plan that is delivered, issued for delivery, or renewed on or after January 1, 2022. A group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