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Bettencourt</w:t>
      </w:r>
      <w:r xml:space="preserve">
        <w:tab wTab="150" tlc="none" cTlc="0"/>
      </w:r>
      <w:r>
        <w:t xml:space="preserve">S.B.</w:t>
      </w:r>
      <w:r xml:space="preserve">
        <w:t> </w:t>
      </w:r>
      <w:r>
        <w:t xml:space="preserve">No.</w:t>
      </w:r>
      <w:r xml:space="preserve">
        <w:t> </w:t>
      </w:r>
      <w:r>
        <w:t xml:space="preserve">111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or county attorney with criminal jurisdiction. </w:t>
      </w:r>
      <w:r>
        <w:rPr>
          <w:u w:val="single"/>
        </w:rPr>
        <w:t xml:space="preserve"> </w:t>
      </w:r>
      <w:r>
        <w:rPr>
          <w:u w:val="single"/>
        </w:rPr>
        <w:t xml:space="preserve">The term does not include an attorney representing the state in a justice or municipal court under Chapter 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transmitted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an agency employee shall promptly transmit the document, item, or information to the attorney representing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