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or county attorney with criminal jurisdiction. </w:t>
      </w:r>
      <w:r>
        <w:rPr>
          <w:u w:val="single"/>
        </w:rPr>
        <w:t xml:space="preserve"> </w:t>
      </w:r>
      <w:r>
        <w:rPr>
          <w:u w:val="single"/>
        </w:rPr>
        <w:t xml:space="preserve">The term does not include an attorney representing the state in a justice or municipal court under Chapter 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filing a case with the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have been disclosed to the attorney representing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 an agency employee shall promptly disclose the document, item, or information to the attorney representing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111 passed the Senate on April</w:t>
      </w:r>
      <w:r xml:space="preserve">
        <w:t> </w:t>
      </w:r>
      <w:r>
        <w:t xml:space="preserve">19,</w:t>
      </w:r>
      <w:r xml:space="preserve">
        <w:t> </w:t>
      </w:r>
      <w:r>
        <w:t xml:space="preserve">2021, by the following vote:  Yeas</w:t>
      </w:r>
      <w:r xml:space="preserve">
        <w:t> </w:t>
      </w:r>
      <w:r>
        <w:t xml:space="preserve">31, Nays</w:t>
      </w:r>
      <w:r xml:space="preserve">
        <w:t> </w:t>
      </w:r>
      <w:r>
        <w:t xml:space="preserve">0; and that the Senate concurred in House amendment on May 29,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111 passed the House, with amendment, on May 26, 2021, by the following vote:  Yeas</w:t>
      </w:r>
      <w:r xml:space="preserve">
        <w:t> </w:t>
      </w:r>
      <w:r>
        <w:t xml:space="preserve">115, Nays</w:t>
      </w:r>
      <w:r xml:space="preserve">
        <w:t> </w:t>
      </w:r>
      <w:r>
        <w:t xml:space="preserve">32,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