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87R26467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112</w:t>
      </w:r>
    </w:p>
    <w:p w:rsidR="003F3435" w:rsidRDefault="0032493E">
      <w:pPr>
        <w:ind w:firstLine="720"/>
        <w:jc w:val="both"/>
      </w:pPr>
      <w:r>
        <w:t xml:space="preserve">(Harless, White)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112:</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C.S.S.B.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the installation and use of tracking equipment and for access to certain communications and location information by law enforcement and the admissibility of certain evidence obtained through those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is likely to produce information that is material to an ongoing criminal investigation of that criminal activity.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Chapter 18B, Code of Criminal Procedure, relating to the disclosure of certain information by a provider of an electronic communications service or a provider of a remote computing service under a warrant, order, or other legal process apply only to a disclosure made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