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9,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10, Nays 0;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123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instruction in positive character traits and personal skills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29.906,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29.906.</w:t>
      </w:r>
      <w:r xml:space="preserve">
        <w:t> </w:t>
      </w:r>
      <w:r xml:space="preserve">
        <w:t> </w:t>
      </w:r>
      <w:r>
        <w:t xml:space="preserve">CHARACTER TRAITS </w:t>
      </w:r>
      <w:r>
        <w:rPr>
          <w:u w:val="single"/>
        </w:rPr>
        <w:t xml:space="preserve">AND PERSONAL SKILLS</w:t>
      </w:r>
      <w:r>
        <w:t xml:space="preserve">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29.906(a), (b), and (c),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State Board of Education shall integrate positive character traits </w:t>
      </w:r>
      <w:r>
        <w:rPr>
          <w:u w:val="single"/>
        </w:rPr>
        <w:t xml:space="preserve">and personal skills</w:t>
      </w:r>
      <w:r>
        <w:t xml:space="preserve"> into the essential knowledge and skills adopted for kindergarten through grade 12,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Board of Education must include the following positive character traits </w:t>
      </w:r>
      <w:r>
        <w:rPr>
          <w:u w:val="single"/>
        </w:rPr>
        <w:t xml:space="preserve">and personal skills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courage;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trustworthiness, including honesty, reliability, punctuality, and loyalty;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integrity;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respect and courtesy;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responsibility, including accountability, diligence, perseverance, </w:t>
      </w:r>
      <w:r>
        <w:rPr>
          <w:u w:val="single"/>
        </w:rPr>
        <w:t xml:space="preserve">self-management skills,</w:t>
      </w:r>
      <w:r>
        <w:t xml:space="preserve"> </w:t>
      </w:r>
      <w:r>
        <w:t xml:space="preserve">and self-control;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fairness, including justice and freedom from prejudice;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caring, including kindness, empathy, compassion, consideration, patience, generosity, [</w:t>
      </w:r>
      <w:r>
        <w:rPr>
          <w:strike/>
        </w:rPr>
        <w:t xml:space="preserve">and</w:t>
      </w:r>
      <w:r>
        <w:t xml:space="preserve">] charity</w:t>
      </w:r>
      <w:r>
        <w:rPr>
          <w:u w:val="single"/>
        </w:rPr>
        <w:t xml:space="preserve">, and interpersonal skills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good citizenship, including patriotism, concern for the common good and the community, </w:t>
      </w:r>
      <w:r>
        <w:rPr>
          <w:u w:val="single"/>
        </w:rPr>
        <w:t xml:space="preserve">responsible decision-making skills,</w:t>
      </w:r>
      <w:r>
        <w:t xml:space="preserve"> and respect for authority and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school pride;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gratitude.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school district and open-enrollment charter school must adopt a character education program that includes the positive character traits </w:t>
      </w:r>
      <w:r>
        <w:rPr>
          <w:u w:val="single"/>
        </w:rPr>
        <w:t xml:space="preserve">and personal skills</w:t>
      </w:r>
      <w:r>
        <w:t xml:space="preserve"> listed in Subsection (b).  In developing or selecting a character education program under this section, a school district shall consult with a committee selected by the district that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parents of district students;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educators;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other members of the community, including community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2022-2023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