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the fiscal effects of inflation or deflation on certain dollar amounts specified in state statute.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403.0144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403.0144.</w:t>
      </w:r>
      <w:r>
        <w:rPr>
          <w:u w:val="single"/>
        </w:rPr>
        <w:t xml:space="preserve"> </w:t>
      </w:r>
      <w:r>
        <w:rPr>
          <w:u w:val="single"/>
        </w:rPr>
        <w:t xml:space="preserve"> </w:t>
      </w:r>
      <w:r>
        <w:rPr>
          <w:u w:val="single"/>
        </w:rPr>
        <w:t xml:space="preserve">REPORT ON FISCAL EFFECTS OF INFLATION OR DEFLATION ON DOLLAR AMOUNTS SPECIFIED IN STATE STATUTE.  (a)  In this section, "consumer price index" means a consumer price index published by the Bureau of Labor Statistics of the United States Department of Labor that the comptroller determines most accurately reports changes in the purchasing power of the dollar for consumers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maintain a list of each dollar amount specified in state statute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tax, or is the rate of a tax, imposed by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fee that, during the preceding state fiscal year, generated more than $1 million in revenue to this state or a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fine that may be assessed against a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used to determine the applicability to a person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 imposed by this state or an exemption from the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imposed by this state or a political subdivision of this state or an exemption from the fee;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or a criminal or civil penalty;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used to determine the applicability of an exemption, discount, exclusion, special valuation, special accounting treatment, special rate, or special method of reporting that is the subject of the report under Section 403.014; or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comptroller determines is relevant to a dollar amount described by Subdivisions (1)-(5).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even-numbered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inflation-adjusted amount of each dollar amount identified in the list maintained under Subsection (b) by determining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identified dollar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amount equal to the product of that dollar amount and the average 12-month percentage change in the consumer price index during the period beginning on the date the statute specifying that dollar amount was enacted or last amended and ending on the last day of the preceding state fiscal biennium;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 the fiscal effects the inflation-adjusted amounts determined under Subdivision (1) would have had on this state and political subdivisions of this state if those amounts had applied during the preceding state fiscal biennium, including the fiscal effects, if any, during that period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revenue received by this state and political subdivisions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costs incurred by this state as a result of the incarceration of individuals;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a report to the legislature and the governor that includes the information described by Subdivisions (1) and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may be included in any other report made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request from any state officer or agency information necessary to complete the report. Each state officer or agency shall cooperate with the comptroller in providing information or analysis for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