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87R423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limitations on pelvic examinations; authorizing disciplinary action, including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2, Health and Safety Code, is amended by adding Chapter 167A to read as follows:</w:t>
      </w:r>
    </w:p>
    <w:p w:rsidR="003F3435" w:rsidRDefault="0032493E">
      <w:pPr>
        <w:spacing w:line="480" w:lineRule="auto"/>
        <w:jc w:val="center"/>
      </w:pPr>
      <w:r>
        <w:rPr>
          <w:u w:val="single"/>
        </w:rPr>
        <w:t xml:space="preserve">CHAPTER 167A.  PELVIC EXAMINATIONS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167A.001.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practitioner" means a physician, physician assistant, or advanced practice registered nurse licensed to practice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"Pelvic examination" means a physical examination by a health care practitioner of a female's external and internal reproductive organs, genitalia, or rectum.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167A.002.</w:t>
      </w:r>
      <w:r>
        <w:rPr>
          <w:u w:val="single"/>
        </w:rPr>
        <w:t xml:space="preserve"> </w:t>
      </w:r>
      <w:r>
        <w:rPr>
          <w:u w:val="single"/>
        </w:rPr>
        <w:t xml:space="preserve"> </w:t>
      </w:r>
      <w:r>
        <w:rPr>
          <w:u w:val="single"/>
        </w:rPr>
        <w:t xml:space="preserve">LIMITATIONS ON PELVIC EXAMINATIONS.  A health care practitioner may perform or delegate to another individual, including a student training to become a health care practitioner, to perform a pelvic examination on a patient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pelvic examination is within the standard of care for diagnosis or treatment of the patient's medical condition;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patient or the patient's legally authorized representative gives informed consent for the pelvic examination that provides notice of the pelvic examination and identifies each individual who will be performing or observing the pelvic examination;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patient who is unconscious or anesthetized, the pelvic examination is immediately necessary for diagnosis or treatment of the patient's medical condition.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167A.003.</w:t>
      </w:r>
      <w:r>
        <w:rPr>
          <w:u w:val="single"/>
        </w:rPr>
        <w:t xml:space="preserve"> </w:t>
      </w:r>
      <w:r>
        <w:rPr>
          <w:u w:val="single"/>
        </w:rPr>
        <w:t xml:space="preserve"> </w:t>
      </w:r>
      <w:r>
        <w:rPr>
          <w:u w:val="single"/>
        </w:rPr>
        <w:t xml:space="preserve">DISCIPLINARY ACTION.  A health care practitioner who violates Section 167A.002 is subject to disciplinary action, including the imposition of an administrative penalty, by the state regulatory agency that issues a license to the practitioner.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unborn child during the third trimester of the pregnancy unless:</w:t>
      </w:r>
    </w:p>
    <w:p w:rsidR="003F3435" w:rsidRDefault="0032493E">
      <w:pPr>
        <w:spacing w:line="480" w:lineRule="auto"/>
        <w:ind w:firstLine="2160"/>
        <w:jc w:val="both"/>
      </w:pPr>
      <w:r>
        <w:t xml:space="preserve">(A)</w:t>
      </w:r>
      <w:r xml:space="preserve">
        <w:t> </w:t>
      </w:r>
      <w:r xml:space="preserve">
        <w:t> </w:t>
      </w:r>
      <w:r>
        <w:t xml:space="preserve">the abortion is necessary to prevent the death of the woman;</w:t>
      </w:r>
    </w:p>
    <w:p w:rsidR="003F3435" w:rsidRDefault="0032493E">
      <w:pPr>
        <w:spacing w:line="480" w:lineRule="auto"/>
        <w:ind w:firstLine="2160"/>
        <w:jc w:val="both"/>
      </w:pPr>
      <w:r>
        <w:t xml:space="preserve">(B)</w:t>
      </w:r>
      <w:r xml:space="preserve">
        <w:t> </w:t>
      </w:r>
      <w:r xml:space="preserve">
        <w:t> </w:t>
      </w:r>
      <w:r>
        <w:t xml:space="preserve">the viable unborn child has a severe, irreversible brain impairment; or</w:t>
      </w:r>
    </w:p>
    <w:p w:rsidR="003F3435" w:rsidRDefault="0032493E">
      <w:pPr>
        <w:spacing w:line="480" w:lineRule="auto"/>
        <w:ind w:firstLine="2160"/>
        <w:jc w:val="both"/>
      </w:pPr>
      <w:r>
        <w:t xml:space="preserve">(C)</w:t>
      </w:r>
      <w:r xml:space="preserve">
        <w:t> </w:t>
      </w:r>
      <w:r xml:space="preserve">
        <w:t> </w:t>
      </w:r>
      <w:r>
        <w:t xml:space="preserve">the woman is diagnosed with a significant likelihood of suffering imminent severe, irreversible brain damage or imminent severe, irreversible paralysis;</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 [</w:t>
      </w:r>
      <w:r>
        <w:rPr>
          <w:strike/>
        </w:rPr>
        <w:t xml:space="preserve">or</w:t>
      </w:r>
      <w:r>
        <w:t xml:space="preserv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w:t>
      </w:r>
      <w:r>
        <w:rPr>
          <w:u w:val="single"/>
        </w:rPr>
        <w:t xml:space="preserve">; or</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performs or delegates to another individual to perform a pelvic examination in violation of Section 167A.002,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pelvic examination performed on or after the effective date of this Act.  A pelvic examination performed before the effective date of this Act is governed by the law in effect when the pelvic examination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