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87R1426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for adoption by a state agency of rules that may have an adverse economic effect on  small businesses, micro-businesses, and rural communities.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2006.002, Government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state agency is made aware that a proposed rule may have an adverse economic effect on small businesses, micro-businesses, or rural communities, as applicable, after notice of the proposed rule has been published, 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prepare an economic impact statement and a regulatory flexibility analysis as required under Subsections (c) and (c-1);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statement and the analysis in the Texas Register as an amendment to the proposed rule;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copy of the statement and the analysis to the standing committee of each house of the legislature charged with reviewing the proposed rule.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to Section 2006.002, Government Code, apply only to a rule proposed by a state agency on or after the effective date of this Act. A rule proposed by a state agency before the effective date of this Act is governed by the law in effect on the date the rule was proposed,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