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87R16221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</w:t>
      </w:r>
    </w:p>
    <w:p w:rsidR="003F3435" w:rsidRDefault="0032493E">
      <w:pPr>
        <w:ind w:firstLine="720"/>
        <w:jc w:val="both"/>
      </w:pPr>
      <w:r>
        <w:t xml:space="preserve">(Klick, et al.)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attorney general and the</w:t>
      </w:r>
      <w:r>
        <w:t xml:space="preserve"> county or district attorney[</w:t>
      </w:r>
      <w:r>
        <w:rPr>
          <w:strike/>
        </w:rPr>
        <w:t xml:space="preserve">, as applicable,</w:t>
      </w:r>
      <w:r>
        <w:t xml:space="preserve">] 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and the county or district attorney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