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87R16049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156</w:t>
      </w:r>
    </w:p>
    <w:p w:rsidR="003F3435" w:rsidRDefault="0032493E">
      <w:pPr>
        <w:ind w:firstLine="720"/>
        <w:jc w:val="both"/>
      </w:pPr>
      <w:r>
        <w:t xml:space="preserve">(Murr)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156:</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C.S.S.B.</w:t>
      </w:r>
      <w:r xml:space="preserve">
        <w:t> </w:t>
      </w:r>
      <w:r>
        <w:t xml:space="preserve">No.</w:t>
      </w:r>
      <w:r xml:space="preserve">
        <w:t> </w:t>
      </w:r>
      <w:r>
        <w:t xml:space="preserve">156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probate proceedings to the county in which the executor or administrator of a decedent's estate resides and to the jurisdiction of the transferee court.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33, Estates Code, is amended by adding Section 33.1011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33.1011.</w:t>
      </w:r>
      <w:r>
        <w:rPr>
          <w:u w:val="single"/>
        </w:rPr>
        <w:t xml:space="preserve"> </w:t>
      </w:r>
      <w:r>
        <w:rPr>
          <w:u w:val="single"/>
        </w:rPr>
        <w:t xml:space="preserve"> </w:t>
      </w:r>
      <w:r>
        <w:rPr>
          <w:u w:val="single"/>
        </w:rPr>
        <w:t xml:space="preserve">TRANSFER TO COUNTY IN WHICH EXECUTOR OR ADMINISTRATOR RESIDES.  (a)</w:t>
      </w:r>
      <w:r>
        <w:rPr>
          <w:u w:val="single"/>
        </w:rPr>
        <w:t xml:space="preserve"> </w:t>
      </w:r>
      <w:r>
        <w:rPr>
          <w:u w:val="single"/>
        </w:rPr>
        <w:t xml:space="preserve"> </w:t>
      </w:r>
      <w:r>
        <w:rPr>
          <w:u w:val="single"/>
        </w:rPr>
        <w:t xml:space="preserve">In this section, "immediate family member" means a person's parent, spouse, child, or sibling.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issuing letters testamentary or of administration to the executor or administrator of an estate in a probate proceeding, the court, on motion of the executor or administrator, may order that the proceeding be transferred to another county in this state in which the executor or administrator resides if no immediate family member of the decedent resides in the same county in which the decedent resided.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court from which the probate proceeding described by Subsection (b) is transferred shall transmit to the court to which the proceeding is transferred: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original file in the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the index.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date of any transfer under this section, the executor or administrator shall provide the notice required by Section 308.051 in the county of the court that originally issued the letters testamentary or of administration.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including Sections 33.003 and 34.001, the court to which the probate proceeding is transferred does not have jurisdiction over any personal injury, wrongful death, or survival action brought by or against the personal representative or otherwise related to the transferred proceeding.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33.1011, Estates Code, as added by this Act, applies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