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87R1326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waiving the fee for the issuance of a duplicate, modified, or renewed license to carry a handgun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411.1955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411.1955.</w:t>
      </w:r>
      <w:r>
        <w:rPr>
          <w:u w:val="single"/>
        </w:rPr>
        <w:t xml:space="preserve"> </w:t>
      </w:r>
      <w:r>
        <w:rPr>
          <w:u w:val="single"/>
        </w:rPr>
        <w:t xml:space="preserve"> </w:t>
      </w:r>
      <w:r>
        <w:rPr>
          <w:u w:val="single"/>
        </w:rPr>
        <w:t xml:space="preserve">WAIVER OF CERTAIN FEES FOR SCHOOL MARSHALS.  (a)  Notwithstanding any other provision of this subchapter, the department shall waive any fee required for the issuance of a duplicate, modified, or renewed license under this subchapter if the applicant for the license is currently appointed as a school marshal under Section 37.0811, 37.0813, or 51.220,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must submit with the application materials proof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status as a school marshal;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licensure under Section 1701.260,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duplicate, modified, or renewed license to carry a handgun submitted on or after the effective date of this Act.  An application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