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county road reports.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251.018,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256.104(a),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applying for a grant under this subchapter, the county shall[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provide the road condition report described by Section 251.018 made by the county for the previous year;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submit to the department a plan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provides a list of transportation infrastructure projects to be funded by the grant;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describes the scope of the transportation infrastructure project or projects to be funded by the grant using best practices for prioritizing the projects;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(C)</w:t>
      </w:r>
      <w:r>
        <w:t xml:space="preserve">]</w:t>
      </w:r>
      <w:r xml:space="preserve">
        <w:t> </w:t>
      </w:r>
      <w:r xml:space="preserve">
        <w:t> </w:t>
      </w:r>
      <w:r>
        <w:t xml:space="preserve">provides for matching funds as required by Section 256.105;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meets any other requirements imposed by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256.106(a),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that makes a second or subsequent application for a grant from the department under this subchapter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provide the department with a copy of a report filed under Section 251.018;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certify that all previous grants are being spent in accordance with the plan submitted under Section 256.104;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provide an accounting of how previous grants were spent, including any amounts spent on administrative costs.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