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10,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Transportation;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county road reports.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251.018,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applying for a grant under this subchapter, the county shall[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road condition report described by Section 251.018 made by the county for the previous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submit to the department a plan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provides a list of transportation infrastructure projects to be funded by the grant;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describes the scope of the transportation infrastructure project or projects to be funded by the grant using best practices for prioritizing the projects;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provides for matching funds as required by Section 256.105;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meets any other requirements imposed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256.106(a),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that makes a second or subsequent application for a grant from the department under this subchapter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provide the department with a copy of a report filed under Section 251.018;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certify that all previous grants are being spent in accordance with the plan submitted under Section 256.104;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provide an accounting of how previous grants were spent, including any amounts spent on administrative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