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165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exception to dropped course limitations at public institutions of higher education for courses dropped during a disaster that results in a bar or limit on in-person course attendance.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51.907, Education Code, is amended by amending Subsection (e) and adding Subsection (e-2)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Texas Higher Education Coordinating Board shall adopt rules under which an institution of higher education shall permit a student to drop more courses under circumstances described by Subsection (b) than the number of courses permitted to be dropped under Subsection (c) or under a policy adopted under Subsection (d) if [</w:t>
      </w:r>
      <w:r>
        <w:rPr>
          <w:strike/>
        </w:rPr>
        <w:t xml:space="preserve">the student shows</w:t>
      </w:r>
      <w:r>
        <w:t xml:space="preserve">] good cause </w:t>
      </w:r>
      <w:r>
        <w:rPr>
          <w:u w:val="single"/>
        </w:rPr>
        <w:t xml:space="preserve">exists</w:t>
      </w:r>
      <w:r>
        <w:t xml:space="preserve"> for dropping more than that number, including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student's</w:t>
      </w:r>
      <w:r>
        <w:t xml:space="preserve"> [</w:t>
      </w:r>
      <w:r>
        <w:rPr>
          <w:strike/>
        </w:rPr>
        <w:t xml:space="preserve">a</w:t>
      </w:r>
      <w:r>
        <w:t xml:space="preserve">] showing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a severe illness or other debilitating condition that affects the student's ability to satisfactorily complete a course;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the student's responsibility for the care of a sick, injured, or needy person if the provision of care affects the student's ability to satisfactorily complete a course;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 xml:space="preserve">
        <w:t> 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the death of a person who: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 xml:space="preserve">
        <w:t> </w:t>
      </w: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is considered to be a member of the student's family under a rule adopted under this subsection for purposes of this </w:t>
      </w:r>
      <w:r>
        <w:rPr>
          <w:u w:val="single"/>
        </w:rPr>
        <w:t xml:space="preserve">paragraph</w:t>
      </w:r>
      <w:r>
        <w:t xml:space="preserve"> [</w:t>
      </w:r>
      <w:r>
        <w:rPr>
          <w:strike/>
        </w:rPr>
        <w:t xml:space="preserve">subdivision</w:t>
      </w:r>
      <w:r>
        <w:t xml:space="preserve">];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t xml:space="preserve"> [</w:t>
      </w:r>
      <w:r>
        <w:rPr>
          <w:strike/>
        </w:rPr>
        <w:t xml:space="preserve">(B)</w:t>
      </w:r>
      <w:r>
        <w:t xml:space="preserve">] is otherwise considered to have a sufficiently close relationship to the student under a rule adopted under this subsection that the person's death is considered to be a showing of good cause;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 xml:space="preserve">
        <w:t> </w:t>
      </w:r>
      <w:r>
        <w:t xml:space="preserve">[</w:t>
      </w:r>
      <w:r>
        <w:rPr>
          <w:strike/>
        </w:rPr>
        <w:t xml:space="preserve">(4)</w:t>
      </w:r>
      <w:r>
        <w:t xml:space="preserve">]</w:t>
      </w:r>
      <w:r xml:space="preserve">
        <w:t> </w:t>
      </w:r>
      <w:r xml:space="preserve">
        <w:t> </w:t>
      </w:r>
      <w:r>
        <w:t xml:space="preserve">the active duty service as a member of the Texas National Guard or the armed forces of the United States of: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 xml:space="preserve">
        <w:t> </w:t>
      </w: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the student;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t xml:space="preserve"> [</w:t>
      </w:r>
      <w:r>
        <w:rPr>
          <w:strike/>
        </w:rPr>
        <w:t xml:space="preserve">(B)</w:t>
      </w:r>
      <w:r>
        <w:t xml:space="preserve">] a person who is considered to be a member of the student's family under a rule adopted under this subsection for purposes of this </w:t>
      </w:r>
      <w:r>
        <w:rPr>
          <w:u w:val="single"/>
        </w:rPr>
        <w:t xml:space="preserve">paragraph;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disaster declared by the governor under Section 418.014, Government Code, resulting in a bar or limit on in-person course attendance at the institution of a duration that significantly affects the student's ability to participate in coursework, as determined in accordance with a rule adopted under this subsection for purposes of this</w:t>
      </w:r>
      <w:r>
        <w:t xml:space="preserve"> </w:t>
      </w:r>
      <w:r>
        <w:t xml:space="preserve">subdivision.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provision of this section, an institution of higher education may not count toward the number of courses permitted to be dropped under Subsection (c) or a policy adopted under Subsection (d) a course dropped by a student during the 2020 spring semester or summer term or the 2020-2021 academic year because of a bar or limit on in-person course attendance at the institution during the applicable semester or term due to the coronavirus disease (COVID-19) pandemic.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51.907(e), Education Code, as amended by this Act, applies beginning with the 2021 fall semester.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</w:pPr>
      <w:r>
        <w:t xml:space="preserve">______________________________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165 passed the Senate on </w:t>
      </w:r>
      <w:r>
        <w:t xml:space="preserve"> </w:t>
      </w:r>
      <w:r>
        <w:t xml:space="preserve"> </w:t>
      </w:r>
      <w:r>
        <w:t xml:space="preserve"> </w:t>
      </w:r>
      <w:r>
        <w:t xml:space="preserve">April 13, 2021, by the following vote:  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0; and that the Senate concurred in House amendment on May 28, 2021, by the following vote:  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165 passed the House, with amendment, on May 25, 2021, by the following vote:  Yeas</w:t>
      </w:r>
      <w:r xml:space="preserve">
        <w:t> </w:t>
      </w:r>
      <w:r>
        <w:t xml:space="preserve">101, Nays</w:t>
      </w:r>
      <w:r xml:space="preserve">
        <w:t> </w:t>
      </w:r>
      <w:r>
        <w:t xml:space="preserve">46, one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