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Blanco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165</w:t>
      </w:r>
    </w:p>
    <w:p w:rsidR="003F3435" w:rsidRDefault="0032493E">
      <w:pPr>
        <w:ind w:firstLine="720"/>
        <w:jc w:val="both"/>
      </w:pPr>
      <w:r>
        <w:t xml:space="preserve">(Fierro)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an exception to dropped course limitations at public institutions of higher education for courses dropped during a disaster that results in a bar or limit on in-person course attendance.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51.907, Education Code, is amended by amending Subsection (e) and adding Subsection (e-2)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The Texas Higher Education Coordinating Board shall adopt rules under which an institution of higher education shall permit a student to drop more courses under circumstances described by Subsection (b) than the number of courses permitted to be dropped under Subsection (c) or under a policy adopted under Subsection (d) if [</w:t>
      </w:r>
      <w:r>
        <w:rPr>
          <w:strike/>
        </w:rPr>
        <w:t xml:space="preserve">the student shows</w:t>
      </w:r>
      <w:r>
        <w:t xml:space="preserve">] good cause </w:t>
      </w:r>
      <w:r>
        <w:rPr>
          <w:u w:val="single"/>
        </w:rPr>
        <w:t xml:space="preserve">exists</w:t>
      </w:r>
      <w:r>
        <w:t xml:space="preserve"> for dropping more than that number, including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student's</w:t>
      </w:r>
      <w:r>
        <w:t xml:space="preserve"> [</w:t>
      </w:r>
      <w:r>
        <w:rPr>
          <w:strike/>
        </w:rPr>
        <w:t xml:space="preserve">a</w:t>
      </w:r>
      <w:r>
        <w:t xml:space="preserve">] showing of: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>
        <w:t xml:space="preserve">[</w:t>
      </w:r>
      <w:r>
        <w:rPr>
          <w:strike/>
        </w:rPr>
        <w:t xml:space="preserve">(1)</w:t>
      </w:r>
      <w:r>
        <w:t xml:space="preserve">]</w:t>
      </w:r>
      <w:r xml:space="preserve">
        <w:t> </w:t>
      </w:r>
      <w:r xml:space="preserve">
        <w:t> </w:t>
      </w:r>
      <w:r>
        <w:t xml:space="preserve">a severe illness or other debilitating condition that affects the student's ability to satisfactorily complete a course;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 xml:space="preserve">
        <w:t> </w:t>
      </w:r>
      <w:r>
        <w:t xml:space="preserve">[</w:t>
      </w:r>
      <w:r>
        <w:rPr>
          <w:strike/>
        </w:rPr>
        <w:t xml:space="preserve">(2)</w:t>
      </w:r>
      <w:r>
        <w:t xml:space="preserve">]</w:t>
      </w:r>
      <w:r xml:space="preserve">
        <w:t> </w:t>
      </w:r>
      <w:r xml:space="preserve">
        <w:t> </w:t>
      </w:r>
      <w:r>
        <w:t xml:space="preserve">the student's responsibility for the care of a sick, injured, or needy person if the provision of care affects the student's ability to satisfactorily complete a course;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 xml:space="preserve">
        <w:t> </w:t>
      </w:r>
      <w:r>
        <w:t xml:space="preserve">[</w:t>
      </w:r>
      <w:r>
        <w:rPr>
          <w:strike/>
        </w:rPr>
        <w:t xml:space="preserve">(3)</w:t>
      </w:r>
      <w:r>
        <w:t xml:space="preserve">]</w:t>
      </w:r>
      <w:r xml:space="preserve">
        <w:t> </w:t>
      </w:r>
      <w:r xml:space="preserve">
        <w:t> </w:t>
      </w:r>
      <w:r>
        <w:t xml:space="preserve">the death of a person who: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 xml:space="preserve">
        <w:t> </w:t>
      </w:r>
      <w:r>
        <w:t xml:space="preserve">[</w:t>
      </w:r>
      <w:r>
        <w:rPr>
          <w:strike/>
        </w:rPr>
        <w:t xml:space="preserve">(A)</w:t>
      </w:r>
      <w:r>
        <w:t xml:space="preserve">]</w:t>
      </w:r>
      <w:r xml:space="preserve">
        <w:t> </w:t>
      </w:r>
      <w:r xml:space="preserve">
        <w:t> </w:t>
      </w:r>
      <w:r>
        <w:t xml:space="preserve">is considered to be a member of the student's family under a rule adopted under this subsection for purposes of this </w:t>
      </w:r>
      <w:r>
        <w:rPr>
          <w:u w:val="single"/>
        </w:rPr>
        <w:t xml:space="preserve">paragraph</w:t>
      </w:r>
      <w:r>
        <w:t xml:space="preserve"> [</w:t>
      </w:r>
      <w:r>
        <w:rPr>
          <w:strike/>
        </w:rPr>
        <w:t xml:space="preserve">subdivision</w:t>
      </w:r>
      <w:r>
        <w:t xml:space="preserve">];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t xml:space="preserve"> [</w:t>
      </w:r>
      <w:r>
        <w:rPr>
          <w:strike/>
        </w:rPr>
        <w:t xml:space="preserve">(B)</w:t>
      </w:r>
      <w:r>
        <w:t xml:space="preserve">] is otherwise considered to have a sufficiently close relationship to the student under a rule adopted under this subsection that the person's death is considered to be a showing of good cause;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 xml:space="preserve">
        <w:t> </w:t>
      </w:r>
      <w:r>
        <w:t xml:space="preserve">[</w:t>
      </w:r>
      <w:r>
        <w:rPr>
          <w:strike/>
        </w:rPr>
        <w:t xml:space="preserve">(4)</w:t>
      </w:r>
      <w:r>
        <w:t xml:space="preserve">]</w:t>
      </w:r>
      <w:r xml:space="preserve">
        <w:t> </w:t>
      </w:r>
      <w:r xml:space="preserve">
        <w:t> </w:t>
      </w:r>
      <w:r>
        <w:t xml:space="preserve">the active duty service as a member of the Texas National Guard or the armed forces of the United States of: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 xml:space="preserve">
        <w:t> </w:t>
      </w:r>
      <w:r>
        <w:t xml:space="preserve">[</w:t>
      </w:r>
      <w:r>
        <w:rPr>
          <w:strike/>
        </w:rPr>
        <w:t xml:space="preserve">(A)</w:t>
      </w:r>
      <w:r>
        <w:t xml:space="preserve">]</w:t>
      </w:r>
      <w:r xml:space="preserve">
        <w:t> </w:t>
      </w:r>
      <w:r xml:space="preserve">
        <w:t> </w:t>
      </w:r>
      <w:r>
        <w:t xml:space="preserve">the student;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t xml:space="preserve"> [</w:t>
      </w:r>
      <w:r>
        <w:rPr>
          <w:strike/>
        </w:rPr>
        <w:t xml:space="preserve">(B)</w:t>
      </w:r>
      <w:r>
        <w:t xml:space="preserve">] a person who is considered to be a member of the student's family under a rule adopted under this subsection for purposes of this </w:t>
      </w:r>
      <w:r>
        <w:rPr>
          <w:u w:val="single"/>
        </w:rPr>
        <w:t xml:space="preserve">paragraph;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disaster declared by the governor under Section 418.014, Government Code, resulting in a bar or limit on in-person course attendance at the institution</w:t>
      </w:r>
      <w:r>
        <w:t xml:space="preserve"> [</w:t>
      </w:r>
      <w:r>
        <w:rPr>
          <w:strike/>
        </w:rPr>
        <w:t xml:space="preserve">subdivision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provision of this section, an institution of higher education may not count toward the number of courses permitted to be dropped under Subsection (c) or a policy adopted under Subsection (d) a course dropped by a student during the 2020 spring semester or summer term or the 2020-2021 academic year because of a bar or limit on in-person course attendance at the institution during the applicable semester or term due to the coronavirus disease (COVID-19) pandemic.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51.907(e), Education Code, as amended by this Act, applies beginning with the 2021 fall semester.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165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