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87R1977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active shooter drills conducted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37, Education Code, is amended by adding Section 37.1141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37.1141.</w:t>
      </w:r>
      <w:r>
        <w:rPr>
          <w:u w:val="single"/>
        </w:rPr>
        <w:t xml:space="preserve"> </w:t>
      </w:r>
      <w:r>
        <w:rPr>
          <w:u w:val="single"/>
        </w:rPr>
        <w:t xml:space="preserve"> </w:t>
      </w:r>
      <w:r>
        <w:rPr>
          <w:u w:val="single"/>
        </w:rPr>
        <w:t xml:space="preserve">ACTIVE SHOOTER DRILL REQUIREMENTS.  (a) Before a school district may conduct an active shooter drill, the district must adopt a policy on active shooter drills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an active shooter drill from including simulations that mimic or appear to be an actual shooting incident;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adequate notice of an active shooter drill be provided to parents of students expected to participate in the drill, including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on which the drill will occur;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content, form, and tone of the drill;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announcement of an active shooter drill to students and faculty before the start of the drill;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standards regarding the content of an active shooter drill, including that the content: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age appropriate and developmentally appropriate;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developed by a team of school administrators, teachers, school-based mental health professionals, and law enforcement officers, with input from parents and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incorporate trauma-informed practices to directly address the well-being of students who participate in the drill;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for the tracking of data regarding the efficacy and impact of active shooter drills conducted by the district, including any symptoms or indicators of trauma among student participants that result from such a drill.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w:t>
      </w:r>
      <w:r>
        <w:rPr>
          <w:u w:val="single"/>
        </w:rPr>
        <w:t xml:space="preserve">37.1141,</w:t>
      </w:r>
      <w:r>
        <w:t xml:space="preserve"> </w:t>
      </w:r>
      <w:r>
        <w:t xml:space="preserve">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and</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