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87R1778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implement a program to allow a person who has a valid driver's license or personal identification card issued in this state to complete a voter registration application over the Internet from the official website of this state and the websites of the secretary of state, the Department of Public Safety, and counties participating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address and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application submitted,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application submitted under this section is considered for all purposes as an application submitted by mail under this title.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rules adopted under Subsection (e) must require that each Internet website through which a person may complete a voter registration application include a description of the offense described by Section 13.007 in a conspicuous location on the website near the place where the person begins or submits the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