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American principles, including social injustice and civil rights concepts, in the public school curriculum and instructional materials and in training materials and resources for use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Sections 21.460 and 21.461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21.460.</w:t>
      </w:r>
      <w:r>
        <w:rPr>
          <w:u w:val="single"/>
        </w:rPr>
        <w:t xml:space="preserve"> </w:t>
      </w:r>
      <w:r>
        <w:rPr>
          <w:u w:val="single"/>
        </w:rPr>
        <w:t xml:space="preserve"> </w:t>
      </w:r>
      <w:r>
        <w:rPr>
          <w:u w:val="single"/>
        </w:rPr>
        <w:t xml:space="preserve">TRAINING MATERIALS AND RESOURCES REGARDING SITUATIONS INVOLVING SOCIAL INJUSTICE AND CIVIL RIGHTS ISSUES.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and respond to situations that involve an alleged social injustice or violation of civil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consult persons with substantial, demonstrated experience in addressing those situations.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21.461.</w:t>
      </w:r>
      <w:r>
        <w:rPr>
          <w:u w:val="single"/>
        </w:rPr>
        <w:t xml:space="preserve"> </w:t>
      </w:r>
      <w:r>
        <w:rPr>
          <w:u w:val="single"/>
        </w:rPr>
        <w:t xml:space="preserve"> </w:t>
      </w:r>
      <w:r>
        <w:rPr>
          <w:u w:val="single"/>
        </w:rPr>
        <w:t xml:space="preserve">BEST PRACTICES FOR PROMOTING STUDENT FREE SPEECH.  The agency shall provide to school districts information relating to best practices for promoting the ability of all students to engage in free speech guaranteed by the constitution of the United States or this state regarding a policy issue, including engaging in speech through a public forum, a nonvoting position on a school district board of trustees, or a civic engagement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To accomplish the primary purpose stated in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Board of Education and each school district shall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school curriculum emphasizes: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understanding the principles underlying the United States Constitution, including the freedom of speech, the rights to assemble and to petition the government for a redress of grievances, and other principles contained in the Bill of Rights;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empowering students to protect themselves and others from injustices and to rectify those injustices;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understanding the benefits of diversity and the history of the civil rights movement;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historical event addressed in the public school curriculum meets a reasonable standard of historical significance, in relation to the limited amount of available instructional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of instruction may include the use of a public forum, youth dialogue, workshop, or other appropriate method of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subject and grade level, the State Board of Education shall adopt a list of instructional materials.  The list includes each instructional material submitted for the subject and grade level that meets applicable physical specifications adopted by the State Board of Education</w:t>
      </w:r>
      <w:r>
        <w:rPr>
          <w:u w:val="single"/>
        </w:rPr>
        <w:t xml:space="preserve">, that</w:t>
      </w:r>
      <w:r>
        <w:t xml:space="preserve"> [</w:t>
      </w:r>
      <w:r>
        <w:rPr>
          <w:strike/>
        </w:rPr>
        <w:t xml:space="preserve">and</w:t>
      </w:r>
      <w:r>
        <w:t xml:space="preserve">] contains material </w:t>
      </w:r>
      <w:r>
        <w:rPr>
          <w:u w:val="single"/>
        </w:rPr>
        <w:t xml:space="preserve">that is consistent with the purpose and guidelines of Sections 28.002(h) and (h-1), and that covers</w:t>
      </w:r>
      <w:r>
        <w:t xml:space="preserve"> [</w:t>
      </w:r>
      <w:r>
        <w:rPr>
          <w:strike/>
        </w:rPr>
        <w:t xml:space="preserve">covering</w:t>
      </w:r>
      <w:r>
        <w:t xml:space="preserve">] at least half of the elements of the essential knowledge and skills of the subject and grade level in the student version of the instructional material, as well as in the teacher version of the instructional material, as determined by the State Board of Education under Section 28.002 and adopted under Section 31.024.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Section 31.023(a), Education Code, apply to instructional materials adopted by the State Board of Education on or after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