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Department of State Health Services, in collaboration with the Health and Human Services Commission, shall prepare a report on the prevalence of eating disorders and eating disorder-related deaths in this state. The report must include:</w:t>
      </w:r>
    </w:p>
    <w:p w:rsidR="003F3435" w:rsidRDefault="0032493E">
      <w:pPr>
        <w:spacing w:line="480" w:lineRule="auto"/>
        <w:ind w:firstLine="1440"/>
        <w:jc w:val="both"/>
      </w:pPr>
      <w:r>
        <w:t xml:space="preserve">(1)</w:t>
      </w:r>
      <w:r xml:space="preserve">
        <w:t> </w:t>
      </w:r>
      <w:r xml:space="preserve">
        <w:t> </w:t>
      </w:r>
      <w:r>
        <w:t xml:space="preserve">regional and statewide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department's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2022, the Department of State Health Services and the Health and Human Services Commission shall prepare and submit to the legislature a copy of the report and any recommendations for legislative or other action to reduce the prevalence of eating disorders and eating disorder-related deaths in this state. 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prepare a report on the prevalence of eating disorders among youth in this state. When administering the Youth Risk Behavior Survey created by the Centers for Disease Control and Prevention to youth in this state, the department may include additional questions as necessary to assist the department in assessing the prevalence of eating disorders among the youth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2024, the Department of State Health Services shall submit to the legislature a copy of the report and a summary of the survey findings relating to the prevalence of eating disorders among youth in this state. 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