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87R26277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</w:t>
      </w:r>
    </w:p>
    <w:p w:rsidR="003F3435" w:rsidRDefault="0032493E">
      <w:pPr>
        <w:ind w:firstLine="720"/>
        <w:jc w:val="both"/>
      </w:pPr>
      <w:r>
        <w:t xml:space="preserve">(White)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Cook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entering a final order in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263, Family Code, is amended by adding Section 263.4011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263.4011.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RENDERING FINAL ORDER; EXTENSION.  (a)  On timely commencement of the trial on the merits under Section 263.401, the court shall render a final order not later than the 90th day after the date the trial commences.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90-day period for rendering a final order under Subsection (a) is not tolled for any recess during the trial.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extend the 90-day period under Subsection (a) for the period the court determines necessary if, after a hearing, the court finds good cause for the extension.  If the court grants a good cause extension under this subsection, the court shall render a written order specifying: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grounds on which the extension is granted;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length of the extension.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may file a mandamus proceeding if the court fails to render a final order within the time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263.4011, Family Code, as added by this Act, applies only to a suit affecting the parent-child relationship filed on or after the effective date of this Act. 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