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social determinants of health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533.001, Government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"Social determinants of health" means the environmental conditions in which a person is born, lives, learns, works, plays, worships, and ages that affect a range of health, functional, and quality of life outcomes and risks.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awarding contracts to managed care organizations, the commission shall:</w:t>
      </w:r>
    </w:p>
    <w:p w:rsidR="003F3435" w:rsidRDefault="0032493E">
      <w:pPr>
        <w:spacing w:line="480" w:lineRule="auto"/>
        <w:ind w:firstLine="1440"/>
        <w:jc w:val="both"/>
      </w:pPr>
      <w:r>
        <w:t xml:space="preserve">(1)</w:t>
      </w:r>
      <w:r xml:space="preserve">
        <w:t> </w:t>
      </w:r>
      <w:r xml:space="preserve">
        <w:t> </w:t>
      </w:r>
      <w:r>
        <w:t xml:space="preserve">give preference to organizations that have significant participation in the organization's provider network from each health care provider in the region who has traditionally provided care to Medicaid and charity care patients;</w:t>
      </w:r>
    </w:p>
    <w:p w:rsidR="003F3435" w:rsidRDefault="0032493E">
      <w:pPr>
        <w:spacing w:line="480" w:lineRule="auto"/>
        <w:ind w:firstLine="1440"/>
        <w:jc w:val="both"/>
      </w:pPr>
      <w:r>
        <w:t xml:space="preserve">(2)</w:t>
      </w:r>
      <w:r xml:space="preserve">
        <w:t> </w:t>
      </w:r>
      <w:r xml:space="preserve">
        <w:t> </w:t>
      </w:r>
      <w:r>
        <w:t xml:space="preserve">give extra consideration to organizations that agree to assure continuity of care for at least three months beyond the period of Medicaid eligibility for recipients;</w:t>
      </w:r>
    </w:p>
    <w:p w:rsidR="003F3435" w:rsidRDefault="0032493E">
      <w:pPr>
        <w:spacing w:line="480" w:lineRule="auto"/>
        <w:ind w:firstLine="1440"/>
        <w:jc w:val="both"/>
      </w:pPr>
      <w:r>
        <w:t xml:space="preserve">(3)</w:t>
      </w:r>
      <w:r xml:space="preserve">
        <w:t> </w:t>
      </w:r>
      <w:r xml:space="preserve">
        <w:t> </w:t>
      </w:r>
      <w:r>
        <w:t xml:space="preserve">consider the need to use different managed care plans to meet the needs of different populations;</w:t>
      </w:r>
    </w:p>
    <w:p w:rsidR="003F3435" w:rsidRDefault="0032493E">
      <w:pPr>
        <w:spacing w:line="480" w:lineRule="auto"/>
        <w:ind w:firstLine="1440"/>
        <w:jc w:val="both"/>
      </w:pPr>
      <w:r>
        <w:t xml:space="preserve">(4)</w:t>
      </w:r>
      <w:r xml:space="preserve">
        <w:t> </w:t>
      </w:r>
      <w:r xml:space="preserve">
        <w:t> </w:t>
      </w:r>
      <w:r>
        <w:t xml:space="preserve">consider the ability of organizations to process Medicaid claims electronically; and</w:t>
      </w:r>
    </w:p>
    <w:p w:rsidR="003F3435" w:rsidRDefault="0032493E">
      <w:pPr>
        <w:spacing w:line="480" w:lineRule="auto"/>
        <w:ind w:firstLine="1440"/>
        <w:jc w:val="both"/>
      </w:pPr>
      <w:r>
        <w:t xml:space="preserve">(5)</w:t>
      </w:r>
      <w:r xml:space="preserve">
        <w:t> </w:t>
      </w:r>
      <w:r xml:space="preserve">
        <w:t> </w:t>
      </w:r>
      <w:r>
        <w:rPr>
          <w:u w:val="single"/>
        </w:rPr>
        <w:t xml:space="preserve">give extra consideration to organizations that use enriched data sets incorporating social determinants of health to manage socially complex populations in a manner that achieves: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 savings through implementation of appropriate interventions for those populations;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favorable health outcomes for those populations by reducing preventable emergency room visits, hospitalizations, and institutionalizations</w:t>
      </w:r>
      <w:r>
        <w:t xml:space="preserve"> [</w:t>
      </w:r>
      <w:r>
        <w:rPr>
          <w:strike/>
        </w:rPr>
        <w:t xml:space="preserve">in the initial implementation of managed care in the South Texas service region, give extra consideration to an organization that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locally owned, managed, and operated, if one exists;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in compliance with the requirements of Section 533.004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533, Government Code, is amended by adding Section 533.022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533.022.</w:t>
      </w:r>
      <w:r>
        <w:rPr>
          <w:u w:val="single"/>
        </w:rPr>
        <w:t xml:space="preserve"> </w:t>
      </w:r>
      <w:r>
        <w:rPr>
          <w:u w:val="single"/>
        </w:rPr>
        <w:t xml:space="preserve"> </w:t>
      </w:r>
      <w:r>
        <w:rPr>
          <w:u w:val="single"/>
        </w:rPr>
        <w:t xml:space="preserve">ANNUAL REPORT ON USE OF SOCIAL DETERMINANTS OF HEALTH. </w:t>
      </w:r>
      <w:r>
        <w:rPr>
          <w:u w:val="single"/>
        </w:rPr>
        <w:t xml:space="preserve"> </w:t>
      </w:r>
      <w:r>
        <w:rPr>
          <w:u w:val="single"/>
        </w:rPr>
        <w:t xml:space="preserve">Each Medicaid managed care organization that uses enriched data sets described by Section 533.003(a)(5) shall submit to the commission an annual report that assesses any cost savings and favorable health outcomes achieved by using those data sets.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533.003(a),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