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87R2518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selection of statewide competition locations by the University Interscholastic League.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33.0835.</w:t>
      </w:r>
      <w:r>
        <w:rPr>
          <w:u w:val="single"/>
        </w:rPr>
        <w:t xml:space="preserve"> </w:t>
      </w:r>
      <w:r>
        <w:rPr>
          <w:u w:val="single"/>
        </w:rPr>
        <w:t xml:space="preserve"> </w:t>
      </w:r>
      <w:r>
        <w:rPr>
          <w:u w:val="single"/>
        </w:rPr>
        <w:t xml:space="preserve">UNIVERSITY INTERSCHOLASTIC LEAGUE: SELECTION OF LOCATIONS FOR STATEWIDE COMPETITIONS.  (a)  The University Interscholastic League shall select locations for statewide competitions in extracurricular activities sponsored or sanctioned by the league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extracurricular activity for which the University Interscholastic League sponsors or sanctions a statewide annual competition, the league shall periodically issue a statewide request for proposals from institutions of higher education and other appropriate entities seeking to host the statewide competition during the year or years specified in the request for proposals.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 for proposals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factors that the University Interscholastic League will consider in selecting the host for the statewide competition;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entity to submit relevant information regarding the capability of the entity to host the competition, including available facilities, accommodations, and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33.0835, Education Code, as added by this Act, applies only to a statewide competition to be held on or after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