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17,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Education;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selection of statewide competition locations by the University Interscholastic League.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33, Education Code, is amended by adding Section 33.0835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33.0835.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UNIVERSITY INTERSCHOLASTIC LEAGUE: </w:t>
      </w:r>
      <w:r>
        <w:rPr>
          <w:u w:val="single"/>
        </w:rPr>
        <w:t xml:space="preserve"> </w:t>
      </w:r>
      <w:r>
        <w:rPr>
          <w:u w:val="single"/>
        </w:rPr>
        <w:t xml:space="preserve">SELECTION OF LOCATIONS FOR STATEWIDE COMPETITIONS.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University Interscholastic League shall select locations for statewide competitions in extracurricular activities sponsored or sanctioned by the league in accordance with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extracurricular activity for which the University Interscholastic League sponsors or sanctions a statewide annual competition, the league shall periodically issue a statewide request for proposals from institutions of higher education and other appropriate entities seeking to host the statewide competition during the year or years specified in the request for proposals.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request for proposals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specify the factors that the University Interscholastic League will consider in selecting the host for the statewide competition;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an entity to submit relevant information regarding the capability of the entity to host the competition, including available facilities, accommodations, and personnel.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33.0835, Education Code, as added by this Act, applies only to a statewide competition to be held on or after September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