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204</w:t>
      </w:r>
    </w:p>
    <w:p w:rsidR="003F3435" w:rsidRDefault="0032493E">
      <w:pPr>
        <w:ind w:firstLine="720"/>
        <w:jc w:val="both"/>
      </w:pPr>
      <w:r>
        <w:t xml:space="preserve">(Huberty)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a public school transportation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34.007(a),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board of county school trustees or a school district board of trustees may establish and operate an economical public school transportation system:</w:t>
      </w:r>
    </w:p>
    <w:p w:rsidR="003F3435" w:rsidRDefault="0032493E">
      <w:pPr>
        <w:spacing w:line="480" w:lineRule="auto"/>
        <w:ind w:firstLine="1440"/>
        <w:jc w:val="both"/>
      </w:pPr>
      <w:r>
        <w:t xml:space="preserve">(1)</w:t>
      </w:r>
      <w:r xml:space="preserve">
        <w:t> </w:t>
      </w:r>
      <w:r xml:space="preserve">
        <w:t> </w:t>
      </w:r>
      <w:r>
        <w:t xml:space="preserve">in the county or district, as applicable; or</w:t>
      </w:r>
    </w:p>
    <w:p w:rsidR="003F3435" w:rsidRDefault="0032493E">
      <w:pPr>
        <w:spacing w:line="480" w:lineRule="auto"/>
        <w:ind w:firstLine="1440"/>
        <w:jc w:val="both"/>
      </w:pPr>
      <w:r>
        <w:t xml:space="preserve">(2)</w:t>
      </w:r>
      <w:r xml:space="preserve">
        <w:t> </w:t>
      </w:r>
      <w:r xml:space="preserve">
        <w:t> </w:t>
      </w:r>
      <w:r>
        <w:t xml:space="preserve">outside the county or district, as applicable, if </w:t>
      </w:r>
      <w:r>
        <w:rPr>
          <w:u w:val="single"/>
        </w:rPr>
        <w:t xml:space="preserve">students served by the county system or enrolled in the school district reside outside the county or district, as applicable</w:t>
      </w:r>
      <w:r>
        <w:t xml:space="preserve"> [</w:t>
      </w:r>
      <w:r>
        <w:rPr>
          <w:strike/>
        </w:rPr>
        <w:t xml:space="preserve">the county or school district enters into an interlocal contract as provided by Chapter 791,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