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87R49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Whitmire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removal of certain unconstitutional provisions from real property records.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11, Property Code, is amended by adding Section 11.009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11.009.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REMOVAL OF UNCONSTITUTIONAL PROVISIONS FROM REAL PROPERTY RECORDS.  (a) </w:t>
      </w:r>
      <w:r>
        <w:rPr>
          <w:u w:val="single"/>
        </w:rPr>
        <w:t xml:space="preserve"> </w:t>
      </w:r>
      <w:r>
        <w:rPr>
          <w:u w:val="single"/>
        </w:rPr>
        <w:t xml:space="preserve">To the extent of any conflict between this section and other law, this section prevails.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owner of real property may petition to remove from a recorded instrument affecting or conveying an interest in the property a provision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violates the United States Constitution;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unenforceable under law;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unambiguously discriminatory.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petition under this section must be filed in a district court of the county in which the instrument is recorded.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court may not charge a fee for filing a petition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finding that a provision identified in a petition under this section satisfies the criteria under Subsection (b), the court shall enter a judgment ordering the county clerk to remove the provision from the recorded instrument.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