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infrastructure facility" has the meaning assigned by Section 423.0045, Government Code, provided that the absence of fencing or signage described in the definition provided by that section does not disqualify an item listed in that definition from being classified or treated as a critical infrastructure facility for purposes of this chapter.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pipelines and pipeline appurtenances or facilities, including pipes, valves, meters, pumps, compressors, treating and processing facilities, cathodic protection facilities, and any other equipment, facilities, devices, structures, and buildings used or intended for use in the gathering, transportation, treating, or processing of oil, gas, or other minerals, and the liquefied or gaseous substances, constituents, products, or mixtures derived from those minerals through refining, processing, or other methods;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utility-scale equipment or facilities to transmit or distribute electricity;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utility-scale water or wastewater storage, treatment, or transmission facilities;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facilities used to manufacture or produce transportation fuels and similar products including gasoline, kerosene, distillate fuel oils, residual fuel oils, lubricants, asphalt, propane, ethanol, biodiesel, and renewable diesel.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"Involved contractor contract" means a contract in which a single contractor agrees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construct, repair, alter, or remodel an improvement to real property;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responsible for the development of plans, specifications, or other design or bid documents used by the contractor to construct, repair, alter, or remodel the improvement.</w:t>
      </w:r>
    </w:p>
    <w:p w:rsidR="003F3435" w:rsidRDefault="0032493E">
      <w:pPr>
        <w:spacing w:line="480" w:lineRule="auto"/>
        <w:jc w:val="center"/>
      </w:pPr>
      <w:r>
        <w:rPr>
          <w:u w:val="single"/>
        </w:rPr>
        <w:t xml:space="preserve">SUBCHAPTER B.  CONTRACTOR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59.0051.</w:t>
      </w:r>
      <w:r>
        <w:rPr>
          <w:u w:val="single"/>
        </w:rPr>
        <w:t xml:space="preserve"> </w:t>
      </w:r>
      <w:r>
        <w:rPr>
          <w:u w:val="single"/>
        </w:rPr>
        <w:t xml:space="preserve"> </w:t>
      </w:r>
      <w:r>
        <w:rPr>
          <w:u w:val="single"/>
        </w:rPr>
        <w:t xml:space="preserve">APPLICABILITY OF SUBCHAPTER.  (a)  This subchapter applies only to a contract for the construction or repair of an improvement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contract entered into by a person for the construction or repair of a critical infrastructure facility owned or operated by the person or any building, structure, improvement, appurtenance, or other facility owned by the person that is necessary to the operation of and directly related to the critical infrastructure facility. </w:t>
      </w:r>
      <w:r>
        <w:rPr>
          <w:u w:val="single"/>
        </w:rPr>
        <w:t xml:space="preserve"> </w:t>
      </w:r>
      <w:r>
        <w:rPr>
          <w:u w:val="single"/>
        </w:rPr>
        <w:t xml:space="preserve">For purposes of this subsection, "person" has the meaning assigned by Section 311.005, Government Code, and includes a parent, subsidiary, affiliated entity, joint venture partner, or owner of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the construction, repair, alteration, or remodeling of an improvement to real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repair, alteration, or remodeling is performed under an involved contractor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 of the plans, specifications, or other design or bid documents for which the contractor is responsible under the contract is the part alleged to be defective.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 a contract between a person and a contractor under which the contractor agrees only to review plans, specifications, or other design or bid documents but is not responsible for any portion of the construction, repair, alteration, or remodeling of the improvement to the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59.0052.</w:t>
      </w:r>
      <w:r>
        <w:rPr>
          <w:u w:val="single"/>
        </w:rPr>
        <w:t xml:space="preserve"> </w:t>
      </w:r>
      <w:r>
        <w:rPr>
          <w:u w:val="single"/>
        </w:rPr>
        <w:t xml:space="preserve"> </w:t>
      </w:r>
      <w:r>
        <w:rPr>
          <w:u w:val="single"/>
        </w:rPr>
        <w:t xml:space="preserve">LIMITATION ON CONTRACTOR'S LIABILITY AND RESPONSIBILITY FOR CERTAIN DEFECTS.  (a)  A contractor is not responsible for the consequences of defects in and may not warranty the accuracy, adequacy, sufficiency, or suitability of plans, specifications, or other design or bid documents provided to the contractor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with whom the contractor entered into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person on behalf of the person with whom the contractor entered into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must, within a reasonable time of learning of the defect, disclose in writing to the person with whom the contractor enters into a contract the existence of any known defect in the plans, specifications, or other design or bid documents that is discovered by the contractor, or that reasonably should have been discovered by the contractor using ordinary diligence, before or during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fails to disclose a condition as required by Subsection (b) may be liable for the consequences of defects that result from the failure to disclose.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59.0053.</w:t>
      </w:r>
      <w:r>
        <w:rPr>
          <w:u w:val="single"/>
        </w:rPr>
        <w:t xml:space="preserve"> </w:t>
      </w:r>
      <w:r>
        <w:rPr>
          <w:u w:val="single"/>
        </w:rPr>
        <w:t xml:space="preserve"> </w:t>
      </w:r>
      <w:r>
        <w:rPr>
          <w:u w:val="single"/>
        </w:rPr>
        <w:t xml:space="preserve">STANDARD OF CARE FOR CERTAIN DESIGNS.  Design services provided under an involved contractor contract are subject to the same standard of care requirements provided in Section 130.0021,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59.0054.</w:t>
      </w:r>
      <w:r>
        <w:rPr>
          <w:u w:val="single"/>
        </w:rPr>
        <w:t xml:space="preserve"> </w:t>
      </w:r>
      <w:r>
        <w:rPr>
          <w:u w:val="single"/>
        </w:rPr>
        <w:t xml:space="preserve"> </w:t>
      </w:r>
      <w:r>
        <w:rPr>
          <w:u w:val="single"/>
        </w:rPr>
        <w:t xml:space="preserve">WAIVER PROHIBITED.  This subchapter may not be waived by a contractor, subcontractor, or owner. </w:t>
      </w:r>
      <w:r>
        <w:rPr>
          <w:u w:val="single"/>
        </w:rPr>
        <w:t xml:space="preserve"> </w:t>
      </w:r>
      <w:r>
        <w:rPr>
          <w:u w:val="single"/>
        </w:rPr>
        <w:t xml:space="preserve">A purported waiver of this subchapter in violation of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t xml:space="preserve">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w:t>
      </w:r>
      <w:r>
        <w:rPr>
          <w:u w:val="single"/>
        </w:rPr>
        <w:t xml:space="preserve"> </w:t>
      </w:r>
      <w:r>
        <w:rPr>
          <w:u w:val="single"/>
        </w:rPr>
        <w:t xml:space="preserve"> </w:t>
      </w:r>
      <w:r>
        <w:rPr>
          <w:u w:val="single"/>
        </w:rPr>
        <w:t xml:space="preserve">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