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30,</w:t>
      </w:r>
      <w:r xml:space="preserve">
        <w:t> </w:t>
      </w:r>
      <w:r>
        <w:t xml:space="preserve">2020; March</w:t>
      </w:r>
      <w:r xml:space="preserve">
        <w:t> </w:t>
      </w:r>
      <w:r>
        <w:t xml:space="preserve">3,</w:t>
      </w:r>
      <w:r xml:space="preserve">
        <w:t> </w:t>
      </w:r>
      <w:r>
        <w:t xml:space="preserve">2021, read first time and referred to Committee on State Affairs; March</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6, Nays 1; March</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 provided that the absence of fencing or signage described in the definition provided by that section does not disqualify an item listed in that definition from being classified or treated as a critical infrastructure facility for purposes of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or processing of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utility-scale equipment or facilities to transmit or distribute electricity;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utility-scale water storage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"Design-build contract" means a contract in which a single contractor agrees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 repair, alter, or remodel an improvement to real property;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responsible for the development of plans, specifications, or other design or bid documents used by the contractor to construct, repair, alter, or remodel the improvement.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w:t>
      </w:r>
      <w:r>
        <w:rPr>
          <w:u w:val="single"/>
        </w:rPr>
        <w:t xml:space="preserve"> </w:t>
      </w:r>
      <w:r>
        <w:rPr>
          <w:u w:val="single"/>
        </w:rPr>
        <w:t xml:space="preserve">For purposes of this subsection, "person" includes a parent, subsidiary, affiliated entity, joint venture partner, or owner of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the construction, repair, alteration, or remodeling of an improvement to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repair, alteration, or remodeling is performed under a design-build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 of the plans, specifications, or other design or bid documents for which the contractor is responsible under the contract is the part alleged to be defective.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within a reasonable time of learning of the defect, disclose in writing to the person with whom the contractor enters into a contract the existence of any known defect in the plans, specifications, or other design or bid documents that is discovered by the contractor, or that reasonably should have been discovered by the contractor using ordinary diligence,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the consequences of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59.0053.</w:t>
      </w:r>
      <w:r>
        <w:rPr>
          <w:u w:val="single"/>
        </w:rPr>
        <w:t xml:space="preserve"> </w:t>
      </w:r>
      <w:r>
        <w:rPr>
          <w:u w:val="single"/>
        </w:rPr>
        <w:t xml:space="preserve"> </w:t>
      </w:r>
      <w:r>
        <w:rPr>
          <w:u w:val="single"/>
        </w:rPr>
        <w:t xml:space="preserve">STANDARD OF CARE FOR CERTAIN DESIGNS.  Design services provided under a design-build contract are subject to the same standard of care requirements provided in Section 130.0021,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59.0054.</w:t>
      </w:r>
      <w:r>
        <w:rPr>
          <w:u w:val="single"/>
        </w:rPr>
        <w:t xml:space="preserve"> </w:t>
      </w:r>
      <w:r>
        <w:rPr>
          <w:u w:val="single"/>
        </w:rPr>
        <w:t xml:space="preserve"> </w:t>
      </w:r>
      <w:r>
        <w:rPr>
          <w:u w:val="single"/>
        </w:rPr>
        <w:t xml:space="preserve">WAIVER PROHIBITED.  This subchapter may not be waived by a contractor, subcontractor, or owner.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t xml:space="preserve">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