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87R2845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West</w:t>
      </w:r>
      <w:r xml:space="preserve">
        <w:tab wTab="150" tlc="none" cTlc="0"/>
      </w:r>
      <w:r>
        <w:t xml:space="preserve">S.B.</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  The commission shall develop and implement simplified certification and recertification requirements for supplemental nutrition assistance program benefits for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60 years of age or older or is a person with a disability, as determined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resides in a household in which every individual residing in the household is 60 years of age or older or is a person with a disability, as determined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benefits. </w:t>
      </w:r>
      <w:r>
        <w:rPr>
          <w:u w:val="single"/>
        </w:rPr>
        <w:t xml:space="preserve"> </w:t>
      </w:r>
      <w:r>
        <w:rPr>
          <w:u w:val="single"/>
        </w:rPr>
        <w:t xml:space="preserve">The commission may seek or use private funding or contract with a public or private entity to carry out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