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December</w:t>
      </w:r>
      <w:r xml:space="preserve">
        <w:t> </w:t>
      </w:r>
      <w:r>
        <w:t xml:space="preserve">2,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Education; April</w:t>
      </w:r>
      <w:r xml:space="preserve">
        <w:t> </w:t>
      </w:r>
      <w:r>
        <w:t xml:space="preserve">6,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6,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226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instruction in educator training programs regarding digital learning, virtual learning, and virtual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21.001, Education Code, is amended by adding Subdivisions (4) and (5)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"Virtual instruction" means instructional activities delivered to students primarily over the Internet.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"Virtual learning" means digital learning facilitated by virtual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21.044(c-2),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(c-2)</w:t>
      </w:r>
      <w:r xml:space="preserve">
        <w:t> </w:t>
      </w:r>
      <w:r xml:space="preserve">
        <w:t> </w:t>
      </w:r>
      <w:r>
        <w:t xml:space="preserve">Any minimum academic qualifications for a certificate specified under Subsection (a) that require a person to possess a bachelor's degree must also require that the person receive, as part of the training required to obtain that certificate, instruction in digital learning</w:t>
      </w:r>
      <w:r>
        <w:rPr>
          <w:u w:val="single"/>
        </w:rPr>
        <w:t xml:space="preserve">, virtual learning, and virtual instruction</w:t>
      </w:r>
      <w:r>
        <w:t xml:space="preserve">, including a digital literacy evaluation followed by a prescribed digital learning curriculum. The instruction required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aligned with the International Society for Technology in Education's standards for teachers;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effective, evidence-based strategies to determine a person's degree of digital literacy;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cover best practices in: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assessing students receiving virtual instruction, based on academic progress;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developing a virtual learning curriculum;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include resources to address any deficiencies identified by the digital literacy evaluation.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