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231</w:t>
      </w:r>
    </w:p>
    <w:p w:rsidR="003F3435" w:rsidRDefault="0032493E">
      <w:pPr>
        <w:ind w:firstLine="720"/>
        <w:jc w:val="both"/>
      </w:pPr>
      <w:r>
        <w:t xml:space="preserve">(Cain,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for county election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31, Election Code, is amended by adding Section 31.126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"county election officer" has the meaning assigned by Section 31.091(1).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provide a standardized training program and materials for county election officers in the same manner it provides such a program to election judges and clerks under Subchapter F, Chapter 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