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makes a preliminary determination on a claim under Section 74.353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or (c)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 (c);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does not issue a preliminary determination under Subsection (a) before the 91st day after the date that a claimant files a motion under that subsection, the court shall issue a preliminary determination that the claim is a health care liability claim for the purposes of Section 74.351.</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preliminary determination under this section is subject to interlocutory appeal by either the claimant or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interlocutory appeal an appellate court reverses a trial court's preliminary determination that a claim is not a health care liability claim, the claimant shall serve an expert report as required by Section 74.351 not later than 120 days after the date that the appellate court issues an opinion reversing the preliminary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preliminary determination under this section applies only to the issue of whether a claimant is required to serve an expert report under Section 74.351.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