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increases in fees charged by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54.5001.</w:t>
      </w:r>
      <w:r>
        <w:rPr>
          <w:u w:val="single"/>
        </w:rPr>
        <w:t xml:space="preserve"> </w:t>
      </w:r>
      <w:r>
        <w:rPr>
          <w:u w:val="single"/>
        </w:rPr>
        <w:t xml:space="preserve"> </w:t>
      </w:r>
      <w:r>
        <w:rPr>
          <w:u w:val="single"/>
        </w:rPr>
        <w:t xml:space="preserve">LIMITATIONS ON FEE INCREASES WITHOUT STUDENT APPROVAL.  (a)  In this section, "general academic teaching institution" and "public state college"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general academic teaching institution other than a public state college.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or other law and except as provided by Subsection (d), the governing board of an institution to which this section applies may not increase the amount of a fee charged under this subchapter to an amount that is greater than the amount charged by the institution in the preceding academic year as adjusted for inflation according to the inflation rate determined under Subsection (e).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and except as provided by Subsection (d), for the 2021-2022 academic year, the amount of a fee charged under this subchapter by an institution to which this section applies may not exceed the amount of the fee charged by that institution under this subchapter in the 2020-2021 academic year, if the institution charged the fee in that academic year, except that if the institution's governing board, before January 1, 2021, gave final approval to an increase in the fee to be charged for the 2021-2022 academic year, the institution may charge the fee for that year at that increased rate.  This subsection expires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an increase in the amount of a fee if the increase is approved by a vote of the students of the institution voting in a student election authorized by law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31 of each year, or as soon thereafter as practicable, the Legislative Budget Board shall publish and certify to the governing board of each general academic teaching institution other than a public state college the inflation rate to be used for purposes of this section for the next academic year.  The inflation rate is the percentage increase, if any, as expressed in decimal form rounded to the nearest thousandth of one percent, in the consumer price index, as defined by Section 341.201, Finance Code, for the preceding calendar year as compared to the consumer price index for the year preceding that year.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purposes of applying this section for the 2021-2022 academic year, the Legislative Budget Board shall publish and certify the applicable inflation rate as soon as practicable after this section takes effect.  This subsection expires September 1, 2022.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independent authority for the governing board of an institution to which this section applies to increase the amount of a fee or to call a student election to approve an increase in the amount of a fee;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governing board of an institution to which this section applies to increase the amount of a fee charged under this subchapter to an amount that exceeds the maximum amount prescribed by the law authorizing the fee's imposition, if that law prescribes a maximum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54.5001, Education Code, as added by this Act, applies beginning with fee increases for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