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87R1483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submission of an affordability and access report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51.4031(a) and (d),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later than November 1 of each year, the chief executive officer of each institution of higher education, as defined by Section 61.003, shall provide to the governing board of the institution </w:t>
      </w:r>
      <w:r>
        <w:rPr>
          <w:u w:val="single"/>
        </w:rPr>
        <w:t xml:space="preserve">and the Texas Higher Education Coordinating Board</w:t>
      </w:r>
      <w:r>
        <w:t xml:space="preserve"> a report for the preceding fall, spring, and summer semesters that examines the affordability and access of the institution.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institution's report must be in the form prescribed by the Texas Higher Education Coordinating Board in consultation with the institution. </w:t>
      </w:r>
      <w:r>
        <w:t xml:space="preserve"> </w:t>
      </w:r>
      <w:r>
        <w:rPr>
          <w:u w:val="single"/>
        </w:rPr>
        <w:t xml:space="preserve">The coordinating board shall provide a report received under this section to the governor, the lieutenant governor, the speaker of the house of representatives, and each member of the legislature. </w:t>
      </w:r>
      <w:r>
        <w:rPr>
          <w:u w:val="single"/>
        </w:rPr>
        <w:t xml:space="preserve"> </w:t>
      </w:r>
      <w:r>
        <w:rPr>
          <w:u w:val="single"/>
        </w:rPr>
        <w:t xml:space="preserve">The coordinating board may provide the report electronically.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