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87R2477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educational materials regarding disease prevention during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418, Government Code, is amended by adding Section 418.1861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418.1861.</w:t>
      </w:r>
      <w:r>
        <w:rPr>
          <w:u w:val="single"/>
        </w:rPr>
        <w:t xml:space="preserve"> </w:t>
      </w:r>
      <w:r>
        <w:rPr>
          <w:u w:val="single"/>
        </w:rPr>
        <w:t xml:space="preserve"> </w:t>
      </w:r>
      <w:r>
        <w:rPr>
          <w:u w:val="single"/>
        </w:rPr>
        <w:t xml:space="preserve">DISEASE PREVENTION INFORMATION SYSTEM.  (a)  The Department of State Health Services shall develop and implement a disease prevention information system for dissemination of immunization information during a declared state of disaster or local state of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During a declared state of disaster or local state of disaster, the Department of State Health Services shall ensure that educational materials regarding immunizations are available to local health authorities in this state for distribution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 schools;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child-care facilities as defined by Section 42.002, Human Resources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community centers offering youth services and programs.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educational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most recent immunization schedules by age as recommended by the Centers for Disease Control and Prevention;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locations, if any, of local health care providers that offer immunizations.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but not later than August 31, 2022, the Department of State Health Services shall implement the disease prevention information system as required by Section 418.1861,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